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1E4" w:rsidRDefault="00E831E4" w:rsidP="00E831E4">
      <w:pPr>
        <w:widowControl w:val="0"/>
        <w:ind w:right="-141"/>
        <w:jc w:val="right"/>
        <w:outlineLvl w:val="1"/>
        <w:rPr>
          <w:rFonts w:ascii="Tahoma" w:eastAsia="Times New Roman" w:hAnsi="Tahoma" w:cs="Tahoma"/>
          <w:b/>
          <w:kern w:val="32"/>
          <w:sz w:val="20"/>
          <w:szCs w:val="20"/>
        </w:rPr>
      </w:pPr>
      <w:r>
        <w:rPr>
          <w:rFonts w:ascii="Tahoma" w:eastAsia="Times New Roman" w:hAnsi="Tahoma" w:cs="Tahoma"/>
          <w:b/>
          <w:kern w:val="32"/>
          <w:sz w:val="20"/>
          <w:szCs w:val="20"/>
        </w:rPr>
        <w:t>Приложение 1 к документации о закупке</w:t>
      </w:r>
    </w:p>
    <w:p w:rsidR="00E831E4" w:rsidRDefault="00E831E4" w:rsidP="003947C9">
      <w:pPr>
        <w:widowControl w:val="0"/>
        <w:ind w:right="-141"/>
        <w:jc w:val="center"/>
        <w:outlineLvl w:val="1"/>
        <w:rPr>
          <w:rFonts w:ascii="Tahoma" w:eastAsia="Times New Roman" w:hAnsi="Tahoma" w:cs="Tahoma"/>
          <w:b/>
          <w:kern w:val="32"/>
          <w:sz w:val="20"/>
          <w:szCs w:val="20"/>
        </w:rPr>
      </w:pPr>
    </w:p>
    <w:p w:rsidR="00256328" w:rsidRPr="00256328" w:rsidRDefault="00256328" w:rsidP="00256328">
      <w:pPr>
        <w:pStyle w:val="a6"/>
        <w:spacing w:after="160"/>
        <w:jc w:val="center"/>
        <w:rPr>
          <w:rFonts w:eastAsia="Times New Roman" w:cs="Tahoma"/>
          <w:szCs w:val="20"/>
        </w:rPr>
      </w:pPr>
      <w:r w:rsidRPr="00256328">
        <w:rPr>
          <w:rFonts w:eastAsia="Times New Roman" w:cs="Tahoma"/>
          <w:b/>
          <w:szCs w:val="20"/>
        </w:rPr>
        <w:t>Техническое задание</w:t>
      </w:r>
    </w:p>
    <w:p w:rsidR="00256328" w:rsidRPr="00256328" w:rsidRDefault="00256328" w:rsidP="00256328">
      <w:pPr>
        <w:pStyle w:val="a6"/>
        <w:spacing w:after="160" w:line="259" w:lineRule="auto"/>
        <w:jc w:val="center"/>
        <w:rPr>
          <w:rFonts w:ascii="Tahoma" w:eastAsia="Times New Roman" w:hAnsi="Tahoma" w:cs="Tahoma"/>
          <w:b/>
        </w:rPr>
      </w:pPr>
      <w:r w:rsidRPr="00256328">
        <w:rPr>
          <w:rFonts w:ascii="Tahoma" w:eastAsia="Times New Roman" w:hAnsi="Tahoma" w:cs="Tahoma"/>
        </w:rPr>
        <w:t>На Выполнение работ по замене, установке и наладке приборов учета и трансформаторов тока для нужд Оренбургского филиала "АО ЭнергосбыТ Плюс"</w:t>
      </w:r>
    </w:p>
    <w:p w:rsidR="00C1214F" w:rsidRDefault="00C1214F" w:rsidP="00C1214F">
      <w:pPr>
        <w:pStyle w:val="a6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af8"/>
        <w:tblW w:w="10065" w:type="dxa"/>
        <w:tblLook w:val="04A0" w:firstRow="1" w:lastRow="0" w:firstColumn="1" w:lastColumn="0" w:noHBand="0" w:noVBand="1"/>
      </w:tblPr>
      <w:tblGrid>
        <w:gridCol w:w="518"/>
        <w:gridCol w:w="3604"/>
        <w:gridCol w:w="5943"/>
      </w:tblGrid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943" w:type="dxa"/>
            <w:hideMark/>
          </w:tcPr>
          <w:p w:rsidR="00991AFD" w:rsidRPr="0034601D" w:rsidRDefault="00E4043F" w:rsidP="004F5962">
            <w:pPr>
              <w:spacing w:after="0" w:line="240" w:lineRule="auto"/>
              <w:ind w:firstLine="307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943" w:type="dxa"/>
            <w:hideMark/>
          </w:tcPr>
          <w:p w:rsidR="00E4043F" w:rsidRPr="0034601D" w:rsidRDefault="00E4043F" w:rsidP="004F5962">
            <w:pPr>
              <w:spacing w:after="0" w:line="240" w:lineRule="auto"/>
              <w:ind w:left="37"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 установке</w:t>
            </w:r>
            <w:r w:rsidR="00AD6E4D" w:rsidRPr="0034601D">
              <w:rPr>
                <w:rFonts w:ascii="Tahoma" w:eastAsia="Times New Roman" w:hAnsi="Tahoma" w:cs="Tahoma"/>
                <w:sz w:val="20"/>
                <w:szCs w:val="20"/>
              </w:rPr>
              <w:t>, замене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и наладке интеллектуальных приборов учёта</w:t>
            </w:r>
            <w:r w:rsidR="00991AFD"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электрической энергии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(далее ПУ ИСУ) и трансформаторов тока (далее ТТ) </w:t>
            </w:r>
            <w:r w:rsidR="00991AFD" w:rsidRPr="0034601D">
              <w:rPr>
                <w:rFonts w:ascii="Tahoma" w:eastAsia="Times New Roman" w:hAnsi="Tahoma" w:cs="Tahoma"/>
                <w:sz w:val="20"/>
                <w:szCs w:val="20"/>
              </w:rPr>
              <w:t>на территории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Оренбургской области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943" w:type="dxa"/>
          </w:tcPr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Многоквартирные дома (далее МКД)</w:t>
            </w:r>
            <w:r w:rsidR="00991AFD" w:rsidRPr="0034601D">
              <w:rPr>
                <w:rFonts w:ascii="Tahoma" w:hAnsi="Tahoma" w:cs="Tahoma"/>
                <w:sz w:val="20"/>
                <w:szCs w:val="20"/>
              </w:rPr>
              <w:t xml:space="preserve"> находящиеся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на территории Оренбургская область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943" w:type="dxa"/>
          </w:tcPr>
          <w:p w:rsidR="0032388B" w:rsidRPr="0034601D" w:rsidRDefault="0032388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32388B" w:rsidRPr="0034601D" w:rsidRDefault="0032388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32388B" w:rsidRPr="0034601D" w:rsidRDefault="0032388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начало выполнения работ - не позднее 1 (одного) рабочего дня с момента заключения Сторонами Договора.</w:t>
            </w:r>
          </w:p>
          <w:p w:rsidR="0032388B" w:rsidRPr="0034601D" w:rsidRDefault="0032388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«25» декабря 202</w:t>
            </w:r>
            <w:r w:rsidR="00611C97" w:rsidRPr="0034601D">
              <w:rPr>
                <w:rFonts w:ascii="Tahoma" w:hAnsi="Tahoma" w:cs="Tahoma"/>
                <w:sz w:val="20"/>
                <w:szCs w:val="20"/>
              </w:rPr>
              <w:t>6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  <w:p w:rsidR="00E4043F" w:rsidRPr="0034601D" w:rsidRDefault="0032388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943" w:type="dxa"/>
          </w:tcPr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Выполнение комплекса работ по установке</w:t>
            </w:r>
            <w:r w:rsidR="00AD6E4D" w:rsidRPr="0034601D"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</w:t>
            </w:r>
            <w:r w:rsidR="00991AFD" w:rsidRPr="0034601D">
              <w:rPr>
                <w:rFonts w:ascii="Tahoma" w:hAnsi="Tahoma" w:cs="Tahoma"/>
                <w:sz w:val="20"/>
                <w:szCs w:val="20"/>
              </w:rPr>
              <w:t>перечнем необходимых товарно-материальных ценностях (далее ТМЦ) (Приложение 3 к Техническому заданию)</w:t>
            </w:r>
            <w:r w:rsidRPr="0034601D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У Заказчика </w:t>
            </w:r>
            <w:r w:rsidR="00991AFD" w:rsidRPr="0034601D">
              <w:rPr>
                <w:rFonts w:ascii="Tahoma" w:hAnsi="Tahoma" w:cs="Tahoma"/>
                <w:sz w:val="20"/>
                <w:szCs w:val="20"/>
              </w:rPr>
              <w:t>отсутствует обязанность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C627F3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ТТ, сим-карт и пломбировочной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</w:t>
            </w:r>
            <w:r w:rsidR="00C627F3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(пломбировочный материал);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До начала работ на объекте Подрядчик проводит обследование точки учета электроэнергии </w:t>
            </w:r>
            <w:r w:rsidRPr="004F5962">
              <w:rPr>
                <w:rFonts w:ascii="Tahoma" w:hAnsi="Tahoma" w:cs="Tahoma"/>
                <w:sz w:val="20"/>
                <w:szCs w:val="20"/>
              </w:rPr>
              <w:t>на предмет</w:t>
            </w:r>
            <w:r w:rsidR="00393C09" w:rsidRPr="004F5962">
              <w:rPr>
                <w:rFonts w:ascii="Tahoma" w:hAnsi="Tahoma" w:cs="Tahoma"/>
                <w:sz w:val="20"/>
                <w:szCs w:val="20"/>
              </w:rPr>
              <w:t xml:space="preserve"> определения требуемого коэффициента трансформации трансформаторов тока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3C09" w:rsidRPr="0034601D">
              <w:rPr>
                <w:rFonts w:ascii="Tahoma" w:hAnsi="Tahoma" w:cs="Tahoma"/>
                <w:sz w:val="20"/>
                <w:szCs w:val="20"/>
              </w:rPr>
              <w:t xml:space="preserve">(в части ОДПУ, ЮЛ), 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истечения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даты интервала между поверками, истечения срока эксплуатации прибора учета, выхода прибора учета из строя</w:t>
            </w:r>
            <w:r w:rsidR="00A92373" w:rsidRPr="0034601D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E4043F" w:rsidRPr="0034601D" w:rsidRDefault="00E4043F" w:rsidP="004F5962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F5962">
              <w:rPr>
                <w:rFonts w:ascii="Tahoma" w:hAnsi="Tahoma" w:cs="Tahoma"/>
                <w:sz w:val="20"/>
                <w:szCs w:val="20"/>
              </w:rPr>
              <w:t xml:space="preserve">В случае если </w:t>
            </w:r>
            <w:r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r w:rsidR="003E2B98"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фото фиксацию</w:t>
            </w:r>
            <w:r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уведомить Заказчика путем оформления а</w:t>
            </w:r>
            <w:r w:rsidRPr="004F5962">
              <w:rPr>
                <w:rFonts w:ascii="Tahoma" w:hAnsi="Tahoma" w:cs="Tahoma"/>
                <w:sz w:val="20"/>
                <w:szCs w:val="20"/>
              </w:rPr>
              <w:t>кта обследования на предмет</w:t>
            </w:r>
            <w:r w:rsidR="006C706A" w:rsidRPr="004F5962">
              <w:rPr>
                <w:rFonts w:ascii="Tahoma" w:hAnsi="Tahoma" w:cs="Tahoma"/>
                <w:sz w:val="20"/>
                <w:szCs w:val="20"/>
              </w:rPr>
              <w:t>,</w:t>
            </w:r>
            <w:r w:rsidRPr="004F5962">
              <w:rPr>
                <w:rFonts w:ascii="Tahoma" w:hAnsi="Tahoma" w:cs="Tahoma"/>
                <w:sz w:val="20"/>
                <w:szCs w:val="20"/>
              </w:rPr>
              <w:t xml:space="preserve"> установления наличия (отсутствия) технической возможности установки индивидуального, общего (квартирного), коллективного </w:t>
            </w:r>
            <w:r w:rsidRPr="004F5962">
              <w:rPr>
                <w:rFonts w:ascii="Tahoma" w:hAnsi="Tahoma" w:cs="Tahoma"/>
                <w:sz w:val="20"/>
                <w:szCs w:val="20"/>
              </w:rPr>
              <w:lastRenderedPageBreak/>
              <w:t>(общедомового) приборов учета</w:t>
            </w:r>
            <w:r w:rsidR="00393C09" w:rsidRPr="004F5962">
              <w:rPr>
                <w:rFonts w:ascii="Tahoma" w:hAnsi="Tahoma" w:cs="Tahoma"/>
                <w:sz w:val="20"/>
                <w:szCs w:val="20"/>
              </w:rPr>
              <w:t>, в том числе оборудования и материалов</w:t>
            </w:r>
            <w:r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Заказчик вправе заменить такой объект</w:t>
            </w:r>
            <w:r w:rsidR="00F8472B"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графике производства работ</w:t>
            </w:r>
            <w:r w:rsidRPr="004F5962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F8472B" w:rsidRPr="0034601D" w:rsidRDefault="00F8472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Подрядчик должен обеспечить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содержание</w:t>
            </w:r>
            <w:r w:rsidRPr="0034601D">
              <w:rPr>
                <w:rFonts w:ascii="Tahoma" w:hAnsi="Tahoma" w:cs="Tahoma"/>
                <w:sz w:val="20"/>
                <w:szCs w:val="20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Подрядчик должен вывезти в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течение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5C4EC5" w:rsidRPr="0034601D" w:rsidRDefault="00E4043F" w:rsidP="004F5962">
            <w:pPr>
              <w:numPr>
                <w:ilvl w:val="0"/>
                <w:numId w:val="7"/>
              </w:numPr>
              <w:tabs>
                <w:tab w:val="left" w:pos="442"/>
              </w:tabs>
              <w:spacing w:after="0" w:line="240" w:lineRule="auto"/>
              <w:ind w:left="17"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E4043F" w:rsidRPr="0034601D" w:rsidRDefault="00E4043F" w:rsidP="004F5962">
            <w:pPr>
              <w:numPr>
                <w:ilvl w:val="0"/>
                <w:numId w:val="7"/>
              </w:numPr>
              <w:tabs>
                <w:tab w:val="left" w:pos="442"/>
              </w:tabs>
              <w:spacing w:after="0" w:line="240" w:lineRule="auto"/>
              <w:ind w:left="17"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в случае нарушения Подрядчиком исполнения обязательств по Договору.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Подрядчик при проведении работ несет всю полноту ответственности: </w:t>
            </w:r>
          </w:p>
          <w:p w:rsidR="00E4043F" w:rsidRPr="0034601D" w:rsidRDefault="00E4043F" w:rsidP="004F5962">
            <w:pPr>
              <w:tabs>
                <w:tab w:val="left" w:pos="442"/>
              </w:tabs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за нарушение правил техники безопасности и охраны труда при выполнении работ.</w:t>
            </w:r>
          </w:p>
          <w:p w:rsidR="00E4043F" w:rsidRPr="0034601D" w:rsidRDefault="00E4043F" w:rsidP="004F5962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</w:t>
            </w:r>
            <w:r w:rsidR="00393C09" w:rsidRPr="0034601D">
              <w:rPr>
                <w:rFonts w:ascii="Tahoma" w:hAnsi="Tahoma" w:cs="Tahoma"/>
                <w:sz w:val="20"/>
                <w:szCs w:val="20"/>
              </w:rPr>
              <w:t>, иметь опыт настройки связных параметров приборов учета (вывод на опрос)</w:t>
            </w:r>
            <w:r w:rsidRPr="0034601D">
              <w:rPr>
                <w:rFonts w:ascii="Tahoma" w:hAnsi="Tahoma" w:cs="Tahoma"/>
                <w:sz w:val="20"/>
                <w:szCs w:val="20"/>
              </w:rPr>
              <w:t>. Список персонала Подрядчика, который будет проводить работы, перед началом выполнения работ передается Заказчику (список персонала должен быть завизирован Подрядчиком и поставлена печать Подрядчика).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Подрядчик организует хранение и утилизацию д</w:t>
            </w:r>
            <w:r w:rsidR="00F8472B" w:rsidRPr="0034601D">
              <w:rPr>
                <w:rFonts w:ascii="Tahoma" w:hAnsi="Tahoma" w:cs="Tahoma"/>
                <w:sz w:val="20"/>
                <w:szCs w:val="20"/>
              </w:rPr>
              <w:t>емонтированных приборов учета электрической энергии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. Хранение демонтированных ПУ должно быть организованно на период не менее </w:t>
            </w:r>
            <w:r w:rsidR="00401731" w:rsidRPr="0034601D">
              <w:rPr>
                <w:rFonts w:ascii="Tahoma" w:hAnsi="Tahoma" w:cs="Tahoma"/>
                <w:sz w:val="20"/>
                <w:szCs w:val="20"/>
              </w:rPr>
              <w:t>180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календарных дней с момен</w:t>
            </w:r>
            <w:r w:rsidR="00F8472B" w:rsidRPr="0034601D">
              <w:rPr>
                <w:rFonts w:ascii="Tahoma" w:hAnsi="Tahoma" w:cs="Tahoma"/>
                <w:sz w:val="20"/>
                <w:szCs w:val="20"/>
              </w:rPr>
              <w:t xml:space="preserve">та выполнения работ по установке, наладке и замене 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ПУ ИСУ. </w:t>
            </w:r>
            <w:r w:rsidRPr="0034601D">
              <w:rPr>
                <w:rFonts w:ascii="Tahoma" w:hAnsi="Tahoma" w:cs="Tahoma"/>
                <w:sz w:val="20"/>
                <w:szCs w:val="20"/>
              </w:rPr>
              <w:lastRenderedPageBreak/>
              <w:t>Информацию о точном адр</w:t>
            </w:r>
            <w:r w:rsidR="00F8472B" w:rsidRPr="0034601D">
              <w:rPr>
                <w:rFonts w:ascii="Tahoma" w:hAnsi="Tahoma" w:cs="Tahoma"/>
                <w:sz w:val="20"/>
                <w:szCs w:val="20"/>
              </w:rPr>
              <w:t>есе, где потребитель</w:t>
            </w:r>
            <w:r w:rsidR="00860FF6" w:rsidRPr="0034601D">
              <w:rPr>
                <w:rFonts w:ascii="Tahoma" w:hAnsi="Tahoma" w:cs="Tahoma"/>
                <w:sz w:val="20"/>
                <w:szCs w:val="20"/>
              </w:rPr>
              <w:t xml:space="preserve"> в течении 180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календар</w:t>
            </w:r>
            <w:r w:rsidR="00F8472B" w:rsidRPr="0034601D">
              <w:rPr>
                <w:rFonts w:ascii="Tahoma" w:hAnsi="Tahoma" w:cs="Tahoma"/>
                <w:sz w:val="20"/>
                <w:szCs w:val="20"/>
              </w:rPr>
              <w:t>ных дней может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943" w:type="dxa"/>
          </w:tcPr>
          <w:p w:rsidR="00E4043F" w:rsidRPr="0034601D" w:rsidRDefault="00E4043F" w:rsidP="00321B69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C30EDB" w:rsidRPr="0034601D" w:rsidRDefault="00C30EDB" w:rsidP="00321B69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 в части ОДПУ, нормативных ИПУ провести обследование по заявке (согласно приложения №4 к Договору) Заказчика и предоставить информацию о необходимом оборудовании, материале и планируемом месте установки ПУ, направив материалы на эл почту Заказчика. </w:t>
            </w:r>
          </w:p>
          <w:p w:rsidR="00E4043F" w:rsidRPr="0034601D" w:rsidRDefault="00E4043F" w:rsidP="00321B69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4F7593" w:rsidRPr="0034601D">
              <w:rPr>
                <w:rFonts w:ascii="Tahoma" w:hAnsi="Tahoma" w:cs="Tahoma"/>
                <w:sz w:val="20"/>
                <w:szCs w:val="20"/>
              </w:rPr>
              <w:t>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</w:t>
            </w:r>
            <w:r w:rsidRPr="0034601D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03A52" w:rsidRPr="0034601D" w:rsidRDefault="00E4043F" w:rsidP="00321B69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- разработать и согласовать с Заказчиком планов-график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</w:t>
            </w:r>
            <w:r w:rsidR="00503A52" w:rsidRPr="0034601D">
              <w:rPr>
                <w:rFonts w:ascii="Tahoma" w:hAnsi="Tahoma" w:cs="Tahoma"/>
                <w:sz w:val="20"/>
                <w:szCs w:val="20"/>
              </w:rPr>
              <w:t>, СТСО  и смежными сетевыми организациями т.д.)</w:t>
            </w:r>
          </w:p>
          <w:p w:rsidR="00E4043F" w:rsidRPr="0034601D" w:rsidRDefault="00E4043F" w:rsidP="00321B69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 / 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 / смс-уведомления производ</w:t>
            </w:r>
            <w:r w:rsidR="004F7593" w:rsidRPr="0034601D">
              <w:rPr>
                <w:rFonts w:ascii="Tahoma" w:hAnsi="Tahoma" w:cs="Tahoma"/>
                <w:sz w:val="20"/>
                <w:szCs w:val="20"/>
              </w:rPr>
              <w:t>ит уведомление заказным письмом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. В случае </w:t>
            </w:r>
            <w:r w:rsidRPr="00321B69">
              <w:rPr>
                <w:rFonts w:ascii="Tahoma" w:hAnsi="Tahoma" w:cs="Tahoma"/>
                <w:sz w:val="20"/>
                <w:szCs w:val="20"/>
              </w:rPr>
              <w:t>необходимости, по согласованию с Заказчиком, формирует и направляет официальные письма от лица Заказчика</w:t>
            </w:r>
            <w:r w:rsidR="00AB0E60" w:rsidRPr="00321B69">
              <w:rPr>
                <w:rFonts w:ascii="Tahoma" w:hAnsi="Tahoma" w:cs="Tahoma"/>
                <w:sz w:val="20"/>
                <w:szCs w:val="20"/>
              </w:rPr>
              <w:t>,  в ча</w:t>
            </w:r>
            <w:r w:rsidR="00321B69" w:rsidRPr="00321B69">
              <w:rPr>
                <w:rFonts w:ascii="Tahoma" w:hAnsi="Tahoma" w:cs="Tahoma"/>
                <w:sz w:val="20"/>
                <w:szCs w:val="20"/>
              </w:rPr>
              <w:t>сти ОДПУ и ЮЛ в МКД осуществляет</w:t>
            </w:r>
            <w:r w:rsidR="00AB0E60" w:rsidRPr="00321B69">
              <w:rPr>
                <w:rFonts w:ascii="Tahoma" w:hAnsi="Tahoma" w:cs="Tahoma"/>
                <w:sz w:val="20"/>
                <w:szCs w:val="20"/>
              </w:rPr>
              <w:t xml:space="preserve"> уведомление сетевых компаний и клиентов в соответвии </w:t>
            </w:r>
            <w:r w:rsidR="00321B69" w:rsidRPr="00321B69">
              <w:rPr>
                <w:rFonts w:ascii="Tahoma" w:hAnsi="Tahoma" w:cs="Tahoma"/>
                <w:sz w:val="20"/>
                <w:szCs w:val="20"/>
              </w:rPr>
              <w:t>с ПП</w:t>
            </w:r>
            <w:r w:rsidR="00AB0E60" w:rsidRPr="00321B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21B69" w:rsidRPr="00321B69">
              <w:rPr>
                <w:rFonts w:ascii="Tahoma" w:hAnsi="Tahoma" w:cs="Tahoma"/>
                <w:sz w:val="20"/>
                <w:szCs w:val="20"/>
              </w:rPr>
              <w:t xml:space="preserve">РФ  </w:t>
            </w:r>
            <w:r w:rsidR="00AB0E60" w:rsidRPr="00321B69">
              <w:rPr>
                <w:rFonts w:ascii="Tahoma" w:hAnsi="Tahoma" w:cs="Tahoma"/>
                <w:sz w:val="20"/>
                <w:szCs w:val="20"/>
              </w:rPr>
              <w:t>от 04.05.2012 № 442 «Основные положения функционирования розничных рынков электроэнергии…»</w:t>
            </w:r>
            <w:r w:rsidRPr="00321B69">
              <w:rPr>
                <w:rFonts w:ascii="Tahoma" w:hAnsi="Tahoma" w:cs="Tahoma"/>
                <w:sz w:val="20"/>
                <w:szCs w:val="20"/>
              </w:rPr>
              <w:t>.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E4043F" w:rsidRPr="0034601D" w:rsidRDefault="004F7593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>(акт по форме № ОС-15 утвержден Постановлением Госкомстата России от 21.01.2003 №7) интеллектуальные приборы учета электрической энергии, трансформаторы тока</w:t>
            </w:r>
            <w:r w:rsidR="004B0BEE" w:rsidRPr="0034601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4B0BEE" w:rsidRPr="0034601D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="004B0BEE" w:rsidRPr="0034601D">
              <w:rPr>
                <w:rFonts w:ascii="Tahoma" w:hAnsi="Tahoma" w:cs="Tahoma"/>
                <w:sz w:val="20"/>
                <w:szCs w:val="20"/>
              </w:rPr>
              <w:t>-карты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 xml:space="preserve"> и пломбировочную продукцию для выполнения Работ</w:t>
            </w:r>
            <w:r w:rsidR="006F524F" w:rsidRPr="0034601D">
              <w:rPr>
                <w:rFonts w:ascii="Tahoma" w:hAnsi="Tahoma" w:cs="Tahoma"/>
                <w:sz w:val="20"/>
                <w:szCs w:val="20"/>
              </w:rPr>
              <w:t>.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Передача интеллектуальных приборов учета электрической энергии и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пломбировочную продукцию,</w:t>
            </w:r>
            <w:r w:rsidR="00412BBE" w:rsidRPr="0034601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12BBE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трансформаторов тока, </w:t>
            </w:r>
            <w:r w:rsidR="00412BBE" w:rsidRPr="0034601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="00412BBE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-карт </w:t>
            </w:r>
            <w:r w:rsidR="00412BBE" w:rsidRPr="0034601D">
              <w:rPr>
                <w:rFonts w:ascii="Tahoma" w:hAnsi="Tahoma" w:cs="Tahoma"/>
                <w:sz w:val="20"/>
                <w:szCs w:val="20"/>
              </w:rPr>
              <w:t>необходимых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для выполнения Работ, осуществляется по адресу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 xml:space="preserve">: г. Оренбург, ул. </w:t>
            </w:r>
            <w:r w:rsidR="00AB0E60" w:rsidRPr="0034601D">
              <w:rPr>
                <w:rFonts w:ascii="Tahoma" w:hAnsi="Tahoma" w:cs="Tahoma"/>
                <w:sz w:val="20"/>
                <w:szCs w:val="20"/>
              </w:rPr>
              <w:t>Набережная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>, д.</w:t>
            </w:r>
            <w:r w:rsidR="00412BBE" w:rsidRPr="003460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B0E60" w:rsidRPr="0034601D">
              <w:rPr>
                <w:rFonts w:ascii="Tahoma" w:hAnsi="Tahoma" w:cs="Tahoma"/>
                <w:sz w:val="20"/>
                <w:szCs w:val="20"/>
              </w:rPr>
              <w:t>25В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4043F" w:rsidRPr="00321B69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работ по настоящему Договору материалы и оборудование, предоставленные Заказчиком и не использованные Подрядчиком, возвращаются. Возврат неиспользованных материалов осуществляется по </w:t>
            </w:r>
            <w:r w:rsidR="008C368C"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</w:t>
            </w:r>
            <w:r w:rsidR="00AC27C9"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ребованию-накладной</w:t>
            </w:r>
            <w:r w:rsidR="00876985"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(форма ВН</w:t>
            </w:r>
            <w:r w:rsidR="00AC27C9"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-М-</w:t>
            </w:r>
            <w:r w:rsidR="00876985"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11), в случае </w:t>
            </w:r>
            <w:r w:rsidRPr="00321B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E4043F" w:rsidRPr="00644F17" w:rsidRDefault="006F524F" w:rsidP="00644F17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Перед монтажом ПУ ИСУ Подрядчику необходимо произвести проверку работоспособности (исключение заводского брака)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t xml:space="preserve">. Внешним осмотром следует проверить: наличия пломб государственного поверителя и контрольных </w:t>
            </w:r>
            <w:r w:rsidR="00E4043F" w:rsidRPr="0034601D">
              <w:rPr>
                <w:rFonts w:ascii="Tahoma" w:hAnsi="Tahoma" w:cs="Tahoma"/>
                <w:sz w:val="20"/>
                <w:szCs w:val="20"/>
              </w:rPr>
              <w:lastRenderedPageBreak/>
              <w:t xml:space="preserve">знаков, голографических марок завода-изготовителя; элементов конструкции токоведущих частей на предмет </w:t>
            </w:r>
            <w:r w:rsidR="00E4043F" w:rsidRPr="00644F17">
              <w:rPr>
                <w:rFonts w:ascii="Tahoma" w:hAnsi="Tahoma" w:cs="Tahoma"/>
                <w:sz w:val="20"/>
                <w:szCs w:val="20"/>
              </w:rPr>
              <w:t>исправности резьбовых соединений и наличия всех винтов клеммных зажимов; проверку целостности вторичной цепи ТТ путём измерения сопротивления на клеммных зажимах для исключения заводского брака</w:t>
            </w:r>
            <w:r w:rsidR="00087654" w:rsidRPr="00644F17">
              <w:rPr>
                <w:rFonts w:ascii="Tahoma" w:hAnsi="Tahoma" w:cs="Tahoma"/>
                <w:sz w:val="20"/>
                <w:szCs w:val="20"/>
              </w:rPr>
              <w:t>, брака слота сим</w:t>
            </w:r>
            <w:r w:rsidR="00644F17" w:rsidRPr="00644F17">
              <w:rPr>
                <w:rFonts w:ascii="Tahoma" w:hAnsi="Tahoma" w:cs="Tahoma"/>
                <w:sz w:val="20"/>
                <w:szCs w:val="20"/>
              </w:rPr>
              <w:t>-</w:t>
            </w:r>
            <w:r w:rsidR="00087654" w:rsidRPr="00644F17">
              <w:rPr>
                <w:rFonts w:ascii="Tahoma" w:hAnsi="Tahoma" w:cs="Tahoma"/>
                <w:sz w:val="20"/>
                <w:szCs w:val="20"/>
              </w:rPr>
              <w:t>карты, брака антенны </w:t>
            </w:r>
            <w:r w:rsidR="00E4043F" w:rsidRPr="00644F17"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E4043F" w:rsidRPr="00E15849" w:rsidRDefault="00E4043F" w:rsidP="00644F17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15849">
              <w:rPr>
                <w:rFonts w:ascii="Tahoma" w:hAnsi="Tahoma" w:cs="Tahoma"/>
                <w:sz w:val="20"/>
                <w:szCs w:val="20"/>
              </w:rPr>
              <w:t>В случае выявления бракованных ПУ ИСУ, Подрядчик организует транспортировку таких приборов до склада Заказчика и передачу по форме Акта о выявленных дефектах в последний день расчетного месяца на ежемесячной основе.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1584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недопуска Подрядчика по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повторно направляет уведомление о назначенной </w:t>
            </w:r>
            <w:r w:rsidR="001548D1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согласованной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дате проведения работ Заказчику. В случае повторного недопуска Подрядчика к Объекту для проведения работ, Подрядчик составляет Акт о недопуске в жилое и (или) нежилое помещение. Оба Акта о недопуске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E4043F" w:rsidRPr="0034601D" w:rsidRDefault="00EE1DE5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фотофиксацию существующего прибора учета электрической энергии или ТТ </w:t>
            </w:r>
            <w:r w:rsidR="00E4043F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(При фотофиксации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устройства).Подрядчик уведомляет Заказчика и передает материалы фотофиксации в течение 2 (двух) рабочих дней, Заказчик вправе исключить объект или заменить на другой.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Установка ПУ ИСУ и ТТ осуществляется Подрядчиком согласно схем завода-изготовителя оборудования. При выполнении работ </w:t>
            </w:r>
            <w:r w:rsidR="00EE1DE5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контролирует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выполнении установки/замены измерительного комплекса (приборы учета электрической энергии, измерительные трансформаторы</w:t>
            </w:r>
            <w:r w:rsidR="00930F68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тока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34601D">
              <w:rPr>
                <w:rFonts w:ascii="Tahoma" w:hAnsi="Tahoma" w:cs="Tahoma"/>
                <w:sz w:val="20"/>
                <w:szCs w:val="20"/>
              </w:rPr>
              <w:t>установки ПУ ИСУ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документов (актов, ведомостей снятия показаний, фотофиксация), формируемых в процессе деятельности Подрядчика;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корректной ра</w:t>
            </w:r>
            <w:r w:rsidR="00C75F78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боты в модуле Мобильный контрол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ер Заказчик проводит </w:t>
            </w:r>
            <w:r w:rsidR="006B243E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обучение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</w:t>
            </w:r>
            <w:r w:rsidR="006B243E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Подрядчик обязан вносить полный объем данных по установленным ПУ ИСУ на следующий рабочий день после установки ПУ ИСУ.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Допуск прибора учета в эксплуатацию осуществляется в соответствии с требованиями пп. 152-154 Постановления Правительства Российской Федерации от 04.05.2012 № 442 «Основные положения функционирования розничных рынков электроэнергии…».</w:t>
            </w:r>
          </w:p>
          <w:p w:rsidR="00E4043F" w:rsidRPr="0034601D" w:rsidRDefault="00E4043F" w:rsidP="0086647A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47A">
              <w:rPr>
                <w:rFonts w:ascii="Tahoma" w:hAnsi="Tahoma" w:cs="Tahoma"/>
                <w:sz w:val="20"/>
                <w:szCs w:val="20"/>
              </w:rPr>
              <w:t>Подрядчик от имени Заказчика производит в двух экземплярах</w:t>
            </w:r>
            <w:r w:rsidR="003818B9" w:rsidRPr="0086647A">
              <w:rPr>
                <w:rFonts w:ascii="Tahoma" w:hAnsi="Tahoma" w:cs="Tahoma"/>
                <w:sz w:val="20"/>
                <w:szCs w:val="20"/>
              </w:rPr>
              <w:t>, с бытовыми потребителями, и в четырех экземплярах, с организациями-представителями потребителей (юридическими лицами, управляющими компаниями</w:t>
            </w:r>
            <w:r w:rsidR="00087654" w:rsidRPr="0086647A">
              <w:rPr>
                <w:rFonts w:ascii="Tahoma" w:hAnsi="Tahoma" w:cs="Tahoma"/>
                <w:sz w:val="20"/>
                <w:szCs w:val="20"/>
              </w:rPr>
              <w:t>, сетевыми организациями</w:t>
            </w:r>
            <w:r w:rsidR="00087654" w:rsidRPr="0086647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3818B9" w:rsidRPr="0086647A">
              <w:rPr>
                <w:rFonts w:ascii="Tahoma" w:hAnsi="Tahoma" w:cs="Tahoma"/>
                <w:sz w:val="20"/>
                <w:szCs w:val="20"/>
              </w:rPr>
              <w:t>и т.п.)</w:t>
            </w:r>
            <w:r w:rsidRPr="0086647A">
              <w:rPr>
                <w:rFonts w:ascii="Tahoma" w:hAnsi="Tahoma" w:cs="Tahoma"/>
                <w:sz w:val="20"/>
                <w:szCs w:val="20"/>
              </w:rPr>
              <w:t xml:space="preserve"> оформление Актов ввода в эксплуатацию приборов учета электрической энергии и подписание актов.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Один экземпляр Акта должен быть передан потребителю.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течение 2 (двух) рабочих дней после</w:t>
            </w:r>
            <w:r w:rsidR="00706AE4" w:rsidRPr="0034601D">
              <w:rPr>
                <w:rFonts w:ascii="Tahoma" w:hAnsi="Tahoma" w:cs="Tahoma"/>
                <w:sz w:val="20"/>
                <w:szCs w:val="20"/>
              </w:rPr>
              <w:t xml:space="preserve"> установки ПУ ИСУ</w:t>
            </w:r>
            <w:r w:rsidR="00CA0E03" w:rsidRPr="0034601D">
              <w:rPr>
                <w:rFonts w:ascii="Tahoma" w:hAnsi="Tahoma" w:cs="Tahoma"/>
                <w:sz w:val="20"/>
                <w:szCs w:val="20"/>
              </w:rPr>
              <w:t xml:space="preserve"> по бытовым потребителям</w:t>
            </w:r>
            <w:r w:rsidRPr="0034601D">
              <w:rPr>
                <w:rFonts w:ascii="Tahoma" w:hAnsi="Tahoma" w:cs="Tahoma"/>
                <w:sz w:val="20"/>
                <w:szCs w:val="20"/>
              </w:rPr>
              <w:t>.</w:t>
            </w:r>
            <w:r w:rsidR="00CA0E03" w:rsidRPr="003460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3F86" w:rsidRPr="0034601D">
              <w:rPr>
                <w:rFonts w:ascii="Tahoma" w:hAnsi="Tahoma" w:cs="Tahoma"/>
                <w:sz w:val="20"/>
                <w:szCs w:val="20"/>
              </w:rPr>
              <w:t>Акты ввода в эксплуатацию приборов учета электрической энергии по заменам у юридических лиц (ОДПУ и т.п.) необходимо в течении 3 (трех) рабочих дней сдать Заказчику и в течении одного рабочего дня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3F86" w:rsidRPr="0034601D">
              <w:rPr>
                <w:rFonts w:ascii="Tahoma" w:hAnsi="Tahoma" w:cs="Tahoma"/>
                <w:sz w:val="20"/>
                <w:szCs w:val="20"/>
              </w:rPr>
              <w:t xml:space="preserve">уведомить Заказчика </w:t>
            </w:r>
            <w:r w:rsidR="00563F86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 проделанной работе посредством отправки на адрес </w:t>
            </w:r>
            <w:r w:rsidR="00563F86" w:rsidRPr="00B672F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электронной почты </w:t>
            </w:r>
            <w:r w:rsidR="005E6E21" w:rsidRPr="00B672FB">
              <w:rPr>
                <w:rFonts w:ascii="Tahoma" w:hAnsi="Tahoma" w:cs="Tahoma"/>
                <w:sz w:val="20"/>
                <w:szCs w:val="20"/>
              </w:rPr>
              <w:t>Elena.V.Polyakova@esplus.ru</w:t>
            </w:r>
            <w:r w:rsidR="00563F86" w:rsidRPr="00B672F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заполненной</w:t>
            </w:r>
            <w:r w:rsidR="00563F86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за предыдущий день формы монтажной и отчётной ведомости</w:t>
            </w:r>
            <w:r w:rsidR="004067B7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(Приложение № 2 к Договору)</w:t>
            </w:r>
            <w:r w:rsidR="00563F86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в </w:t>
            </w:r>
            <w:r w:rsidR="00563F86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="00563F86"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формате.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Дополнительно </w:t>
            </w:r>
            <w:r w:rsidRPr="0034601D">
              <w:rPr>
                <w:rFonts w:ascii="Tahoma" w:hAnsi="Tahoma" w:cs="Tahoma"/>
                <w:sz w:val="20"/>
                <w:szCs w:val="20"/>
              </w:rPr>
              <w:t>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</w:t>
            </w:r>
            <w:r w:rsidR="00930F68" w:rsidRPr="0034601D">
              <w:rPr>
                <w:rFonts w:ascii="Tahoma" w:hAnsi="Tahoma" w:cs="Tahoma"/>
                <w:sz w:val="20"/>
                <w:szCs w:val="20"/>
              </w:rPr>
              <w:t xml:space="preserve"> Заказчику</w:t>
            </w:r>
            <w:r w:rsidRPr="0034601D">
              <w:rPr>
                <w:rFonts w:ascii="Tahoma" w:hAnsi="Tahoma" w:cs="Tahoma"/>
                <w:sz w:val="20"/>
                <w:szCs w:val="20"/>
              </w:rPr>
              <w:t xml:space="preserve"> в течении 2 рабочих дней.</w:t>
            </w:r>
          </w:p>
          <w:p w:rsidR="00E4043F" w:rsidRPr="0034601D" w:rsidRDefault="00E4043F" w:rsidP="00B672FB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фотофиксацию демонтированного и смонтированного оборудования на объектах Заказчика: фиксирует положения заменяемого ПУ </w:t>
            </w:r>
            <w:r w:rsidR="000959A6" w:rsidRPr="0034601D">
              <w:rPr>
                <w:rFonts w:ascii="Tahoma" w:hAnsi="Tahoma" w:cs="Tahoma"/>
                <w:sz w:val="20"/>
                <w:szCs w:val="20"/>
              </w:rPr>
              <w:t>электрической энергии</w:t>
            </w:r>
            <w:r w:rsidRPr="0034601D">
              <w:rPr>
                <w:rFonts w:ascii="Tahoma" w:hAnsi="Tahoma" w:cs="Tahoma"/>
                <w:sz w:val="20"/>
                <w:szCs w:val="20"/>
              </w:rPr>
              <w:t>(одно фото), его текущие показания (</w:t>
            </w:r>
            <w:r w:rsidRPr="00B672FB">
              <w:rPr>
                <w:rFonts w:ascii="Tahoma" w:hAnsi="Tahoma" w:cs="Tahoma"/>
                <w:sz w:val="20"/>
                <w:szCs w:val="20"/>
              </w:rPr>
              <w:t xml:space="preserve">одно фото), положение нового ПУ </w:t>
            </w:r>
            <w:r w:rsidR="00930F68" w:rsidRPr="00B672FB">
              <w:rPr>
                <w:rFonts w:ascii="Tahoma" w:hAnsi="Tahoma" w:cs="Tahoma"/>
                <w:sz w:val="20"/>
                <w:szCs w:val="20"/>
              </w:rPr>
              <w:t>ИСУ</w:t>
            </w:r>
            <w:r w:rsidRPr="00B672FB">
              <w:rPr>
                <w:rFonts w:ascii="Tahoma" w:hAnsi="Tahoma" w:cs="Tahoma"/>
                <w:sz w:val="20"/>
                <w:szCs w:val="20"/>
              </w:rPr>
              <w:t>(одно фото) и контроль его опломбирования (два фото)</w:t>
            </w:r>
            <w:r w:rsidR="00B672FB" w:rsidRPr="00B672F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B672FB">
              <w:rPr>
                <w:rFonts w:ascii="Tahoma" w:hAnsi="Tahoma" w:cs="Tahoma"/>
                <w:sz w:val="20"/>
                <w:szCs w:val="20"/>
              </w:rPr>
              <w:t xml:space="preserve">положение заменяемых ТТ (одно фото), положение новых ТТ (одно фото) </w:t>
            </w:r>
            <w:r w:rsidRPr="00B672FB">
              <w:rPr>
                <w:rFonts w:ascii="Tahoma" w:hAnsi="Tahoma" w:cs="Tahoma"/>
                <w:sz w:val="20"/>
                <w:szCs w:val="20"/>
              </w:rPr>
              <w:lastRenderedPageBreak/>
              <w:t xml:space="preserve">и контроль их опломбирования (три фото), установленную </w:t>
            </w:r>
            <w:r w:rsidRPr="00B672FB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B672FB">
              <w:rPr>
                <w:rFonts w:ascii="Tahoma" w:hAnsi="Tahoma" w:cs="Tahoma"/>
                <w:sz w:val="20"/>
                <w:szCs w:val="20"/>
              </w:rPr>
              <w:t>-карту (одно фото)</w:t>
            </w:r>
            <w:r w:rsidR="00B672FB" w:rsidRPr="00B672FB">
              <w:rPr>
                <w:rFonts w:ascii="Tahoma" w:hAnsi="Tahoma" w:cs="Tahoma"/>
                <w:sz w:val="20"/>
                <w:szCs w:val="20"/>
              </w:rPr>
              <w:t>,</w:t>
            </w:r>
            <w:r w:rsidR="00087654" w:rsidRPr="00B672FB">
              <w:rPr>
                <w:rFonts w:ascii="Tahoma" w:hAnsi="Tahoma" w:cs="Tahoma"/>
                <w:sz w:val="20"/>
                <w:szCs w:val="20"/>
              </w:rPr>
              <w:t xml:space="preserve"> фото использованных материалов (не менее 5) и фото состояния GSM-модуля после установки/замены (одно фото)</w:t>
            </w:r>
            <w:r w:rsidR="00B672FB" w:rsidRPr="00B672FB">
              <w:rPr>
                <w:rFonts w:ascii="Tahoma" w:hAnsi="Tahoma" w:cs="Tahoma"/>
                <w:sz w:val="20"/>
                <w:szCs w:val="20"/>
              </w:rPr>
              <w:t>,</w:t>
            </w:r>
            <w:r w:rsidRPr="00B672FB">
              <w:rPr>
                <w:rFonts w:ascii="Tahoma" w:hAnsi="Tahoma" w:cs="Tahoma"/>
                <w:sz w:val="20"/>
                <w:szCs w:val="20"/>
              </w:rPr>
              <w:t xml:space="preserve"> (обязательно должны быть видны номера демонтированного и устанавливаемого прибора учета</w:t>
            </w:r>
            <w:r w:rsidR="000959A6" w:rsidRPr="00B672FB">
              <w:rPr>
                <w:rFonts w:ascii="Tahoma" w:hAnsi="Tahoma" w:cs="Tahoma"/>
                <w:sz w:val="20"/>
                <w:szCs w:val="20"/>
              </w:rPr>
              <w:t xml:space="preserve"> ИСУ</w:t>
            </w:r>
            <w:r w:rsidRPr="00B672FB">
              <w:rPr>
                <w:rFonts w:ascii="Tahoma" w:hAnsi="Tahoma" w:cs="Tahoma"/>
                <w:sz w:val="20"/>
                <w:szCs w:val="20"/>
              </w:rPr>
              <w:t>, трансформаторов тока и номера устанавливаемых пломб). Фотографии должны быть формата JPEG и содержать следующие метаданные</w:t>
            </w:r>
            <w:r w:rsidRPr="0034601D">
              <w:rPr>
                <w:rFonts w:ascii="Tahoma" w:hAnsi="Tahoma" w:cs="Tahoma"/>
                <w:sz w:val="20"/>
                <w:szCs w:val="20"/>
              </w:rPr>
              <w:t>: дата, время и данные геолокации. В названии файла должна содержаться информация о номере ПУ, адресе объекта. Фото предоставляются Заказчику в составе приемо-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сдаточной документации.</w:t>
            </w:r>
          </w:p>
          <w:p w:rsidR="0022233B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180 календарных дней с момента выполнения работ по установке ПУ ИСУ. Информацию о точном </w:t>
            </w:r>
            <w:r w:rsidRPr="0034601D">
              <w:rPr>
                <w:rFonts w:ascii="Tahoma" w:hAnsi="Tahoma" w:cs="Tahoma"/>
                <w:sz w:val="20"/>
                <w:szCs w:val="20"/>
              </w:rPr>
              <w:t>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оформляется Подрядчиком с составлением акта передачи материальных ценностей (демонтированного оборудования).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34601D">
              <w:rPr>
                <w:rFonts w:ascii="Tahoma" w:hAnsi="Tahoma" w:cs="Tahoma"/>
                <w:sz w:val="20"/>
                <w:szCs w:val="20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фактического получения ответов ПУ ИСУ на запросы из системы ИСУ;</w:t>
            </w:r>
          </w:p>
          <w:p w:rsidR="00E4043F" w:rsidRPr="00DF79F6" w:rsidRDefault="00E4043F" w:rsidP="00DF79F6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на предмет фактической вероятности возможного использования выносных антенн GSM радиосигнала и </w:t>
            </w:r>
            <w:r w:rsidRPr="00DF79F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максимально эффективного места их расположения;</w:t>
            </w:r>
          </w:p>
          <w:p w:rsidR="00E4043F" w:rsidRPr="00DF79F6" w:rsidRDefault="00E4043F" w:rsidP="00DF79F6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F79F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на предмет корре</w:t>
            </w:r>
            <w:r w:rsidR="00DF79F6" w:rsidRPr="00DF79F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ктности настроек приборов учета;</w:t>
            </w:r>
          </w:p>
          <w:p w:rsidR="00087654" w:rsidRPr="0034601D" w:rsidRDefault="00087654" w:rsidP="00DF79F6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F79F6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DF79F6">
              <w:rPr>
                <w:rFonts w:ascii="Tahoma" w:hAnsi="Tahoma" w:cs="Tahoma"/>
                <w:sz w:val="20"/>
                <w:szCs w:val="20"/>
              </w:rPr>
              <w:t>вышеуказанные работы осуществляются с применением чат-бота Заказачика. Доступ к Чат-боту предоставляется на основании Приложения 4 к Техническому заданию.</w:t>
            </w:r>
            <w:r w:rsidRPr="0034601D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SIM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ab/>
              <w:t xml:space="preserve">Трансформаторы тока по техническим характеристикам должны соответствовать требованиям ГОСТ 7746-2015. 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Коэффициенты трансформаторов тока должны быть выбраны по условиям фактической нагрузки и требованиям Правил устройства электроустановок. Значения допустимых классов точности трансформаторов тока определяется исходя из условий функционирования объекта измерений.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Межповерочный интервал трансформаторов тока не менее 4 лет. 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Класс точности измерительных трансформаторов для установки (подключения) приборов учета, должен быть не хуже 0,5.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Трансформаторы тока должны быть поверены, иметь свидетельство о поверке, действующее на полный период межповерочного интервала, на момент приобретения или отметку в паспорте о первичной заводской поверке. 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Трансформаторы устойчивы к воздействию внешних механических факторов для группы механического исполнения М2 ГОСТ 30631-99. Исполнение трансформаторов по условиям установки на месте работы,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Фактическая вторичная нагрузка выбранных ТТ должна находиться в диапазоне, обеспечивающим соответствующий класс точности согласно требований ГОСТ, или в расширенном диапазоне согласно пределам, установленным производителем.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В измерительных цепях должна предусматриваться возможность замены электросчётчика трансформаторного включения и подключения к нему образцового счетчика без отключения присоединения (установка испытательных коробок, блоков и т.п.).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 xml:space="preserve">При подключении ПУ ИСУ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кв.мм для меди. Применение алюминиевых проводников запрещается.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Приборы учета устанавливаются: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в этажных щитах;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шкафах учёта при внутриквартирном расположении; 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в выносных шкафах учёта (боксах) по согласованию с Заказчиком.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Монтаж всех вновь устанавливаемых приборов учёта производится на место демонтируемых (ранее существующих) приборов учёта. При первичном монтаже узла учёта, место установки, применяемые материалы и технические решения определяется по согласованию с Заказчиком</w:t>
            </w:r>
            <w:r w:rsidR="002A5F18"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приборы учёта непосредственного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</w:t>
            </w:r>
            <w:r w:rsidR="0022233B" w:rsidRPr="0034601D">
              <w:rPr>
                <w:rFonts w:ascii="Tahoma" w:eastAsia="Times New Roman" w:hAnsi="Tahoma" w:cs="Tahoma"/>
                <w:sz w:val="20"/>
                <w:szCs w:val="20"/>
              </w:rPr>
              <w:t>вводного распределительного устройства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, ПУ подлежат установке в отдельном запирающемся шкафу.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ab/>
              <w:t>При необходимости в установке общедомовых ПУ ИСУ на фасаде здания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колодки, установленные перед приборами учета и имеющие устройство для пломбирования или маркирования;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Монтаж шкафа учета и/или ПУ ИСУ выполнить по нормам безопасности от поражения электрическим током и возгорания.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E4043F" w:rsidRPr="0034601D" w:rsidRDefault="00E4043F" w:rsidP="004F5962">
            <w:pPr>
              <w:tabs>
                <w:tab w:val="left" w:pos="17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943" w:type="dxa"/>
          </w:tcPr>
          <w:p w:rsidR="00D96178" w:rsidRPr="00F75A23" w:rsidRDefault="00D96178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Сметную документацию необходимо выполнить в соответствии с Ведомостями работ (см. приложения к Техническому заданию), </w:t>
            </w:r>
            <w:r w:rsidR="00FA0881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ресурсно-индексным методом в соответствии с приказом Минстроя России от 04.08.2020г. №421/пр,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№1046/пр ФСНБ-2022 с использованием индексов изменения сметной стоимости по группам однородных строительных ресурсов.</w:t>
            </w:r>
          </w:p>
          <w:p w:rsidR="00E4043F" w:rsidRPr="0034601D" w:rsidRDefault="00D96178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kern w:val="24"/>
                <w:sz w:val="20"/>
                <w:szCs w:val="20"/>
              </w:rPr>
            </w:pP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составлении сметной документации в обязательном порядке применить понижающие коэффициенты, которые не должны превышать коэффициенты, указанные в Локально-сме</w:t>
            </w:r>
            <w:r w:rsidR="006B4F73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тных расчетах (см. приложение №</w:t>
            </w:r>
            <w:r w:rsidR="00FA62C2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6B4F73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</w:t>
            </w:r>
            <w:r w:rsidR="006B4F73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договору</w:t>
            </w: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стандарты, СНиПы и прочие правила.</w:t>
            </w:r>
          </w:p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943" w:type="dxa"/>
          </w:tcPr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22233B" w:rsidRPr="0034601D" w:rsidRDefault="0022233B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34601D">
              <w:rPr>
                <w:rFonts w:ascii="Tahoma" w:hAnsi="Tahoma" w:cs="Tahoma"/>
                <w:color w:val="FF0000"/>
                <w:sz w:val="20"/>
                <w:szCs w:val="20"/>
              </w:rPr>
              <w:t xml:space="preserve"> </w:t>
            </w:r>
            <w:r w:rsidRPr="0034601D">
              <w:rPr>
                <w:rFonts w:ascii="Tahoma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 функционировании розничных рынков электрической энергии, полном и(или) частичном ограничении режима потребления электрической энергии, утвержденные Постановлением Правительства Российской Федерации от 4 мая 2012 г. № 442. 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ГОСТ 7746 - 2015 «Трансформаторы тока. Общие технические условия»;  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ТР ТС 020/2011 «Электромагнитная совместимость технических средств»;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8.563–2009. ГСИ. «Методики (методы) измерений»;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34.11.333-97. «Типовая методика выполнения измерений количества электрической энергии»;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34.11.334-97. «Типовая методика выполнения измерений электрической мощности»;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2168-91 ГСИ ИИС. «Методика расчета метро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E4043F" w:rsidRPr="0034601D" w:rsidRDefault="00E4043F" w:rsidP="004F5962">
            <w:pPr>
              <w:tabs>
                <w:tab w:val="left" w:pos="159"/>
              </w:tabs>
              <w:spacing w:after="0" w:line="240" w:lineRule="auto"/>
              <w:ind w:left="17" w:firstLine="307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943" w:type="dxa"/>
          </w:tcPr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Монтаж оборудования выполня</w:t>
            </w:r>
            <w:r w:rsidR="0022233B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</w:t>
            </w:r>
            <w:r w:rsidR="0022233B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ся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 нормам безопасности от поражения электрическим током.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Руководящими документами;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Отраслевыми стандартами и др. документами.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ПУЭ (действующее издание);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ПТЭ (действующее издание);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Требования к безопасности выполняемых работ: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E4043F" w:rsidRPr="0034601D" w:rsidRDefault="00E4043F" w:rsidP="004F5962">
            <w:pPr>
              <w:spacing w:after="0" w:line="240" w:lineRule="auto"/>
              <w:ind w:left="17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E4043F" w:rsidRPr="0034601D" w:rsidRDefault="00E4043F" w:rsidP="004F5962">
            <w:pPr>
              <w:tabs>
                <w:tab w:val="left" w:pos="465"/>
              </w:tabs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Arial Unicode MS" w:hAnsi="Tahoma" w:cs="Tahoma"/>
                <w:sz w:val="20"/>
                <w:szCs w:val="20"/>
              </w:rPr>
            </w:pPr>
            <w:r w:rsidRPr="0034601D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943" w:type="dxa"/>
            <w:vAlign w:val="center"/>
            <w:hideMark/>
          </w:tcPr>
          <w:p w:rsidR="0022233B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ПУ ИСУ, ТТ, </w:t>
            </w:r>
            <w:r w:rsidRPr="0034601D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34601D">
              <w:rPr>
                <w:rFonts w:ascii="Tahoma" w:hAnsi="Tahoma" w:cs="Tahoma"/>
                <w:sz w:val="20"/>
                <w:szCs w:val="20"/>
              </w:rPr>
              <w:t>-карт и пломбировочной продукции);</w:t>
            </w:r>
          </w:p>
          <w:p w:rsidR="0022233B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22233B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22233B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E4043F" w:rsidRPr="0034601D" w:rsidRDefault="0022233B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hd w:val="clear" w:color="auto" w:fill="FFFFFF"/>
              <w:spacing w:after="0" w:line="240" w:lineRule="auto"/>
              <w:contextualSpacing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5943" w:type="dxa"/>
            <w:hideMark/>
          </w:tcPr>
          <w:p w:rsidR="00E4043F" w:rsidRPr="0034601D" w:rsidRDefault="00E4043F" w:rsidP="004F5962">
            <w:pPr>
              <w:widowControl w:val="0"/>
              <w:numPr>
                <w:ilvl w:val="1"/>
                <w:numId w:val="28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8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8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8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860EE6" w:rsidRPr="0034601D" w:rsidRDefault="00860EE6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Акт </w:t>
            </w:r>
            <w:r w:rsidR="00FA62C2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приемки </w:t>
            </w:r>
            <w:r w:rsidRPr="0034601D">
              <w:rPr>
                <w:rFonts w:ascii="Tahoma" w:hAnsi="Tahoma" w:cs="Tahoma"/>
                <w:sz w:val="20"/>
                <w:szCs w:val="20"/>
              </w:rPr>
              <w:t>выполненных работ подписывает его, либо направляет Подрядчику мотивированные возражения.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</w:t>
            </w:r>
            <w:r w:rsidRPr="0034601D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lastRenderedPageBreak/>
              <w:t>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  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:rsidR="00E4043F" w:rsidRPr="0034601D" w:rsidRDefault="00E4043F" w:rsidP="0034601D">
            <w:pPr>
              <w:shd w:val="clear" w:color="auto" w:fill="FFFFFF"/>
              <w:spacing w:after="0" w:line="240" w:lineRule="auto"/>
              <w:contextualSpacing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работ.</w:t>
            </w:r>
          </w:p>
          <w:p w:rsidR="00E4043F" w:rsidRPr="0034601D" w:rsidRDefault="00E4043F" w:rsidP="0034601D">
            <w:pPr>
              <w:shd w:val="clear" w:color="auto" w:fill="FFFFFF"/>
              <w:spacing w:after="0" w:line="240" w:lineRule="auto"/>
              <w:contextualSpacing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943" w:type="dxa"/>
            <w:hideMark/>
          </w:tcPr>
          <w:p w:rsidR="00E4043F" w:rsidRPr="00F75A23" w:rsidRDefault="00E4043F" w:rsidP="00F75A23">
            <w:pPr>
              <w:autoSpaceDE w:val="0"/>
              <w:autoSpaceDN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32668F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факту завершения Работ, указанных в заявке на выполнение работ </w:t>
            </w:r>
            <w:r w:rsidR="00523268" w:rsidRPr="00F75A23">
              <w:rPr>
                <w:rFonts w:ascii="Tahoma" w:hAnsi="Tahoma" w:cs="Tahoma"/>
                <w:sz w:val="20"/>
                <w:szCs w:val="20"/>
              </w:rPr>
              <w:t>замене/установки </w:t>
            </w:r>
            <w:r w:rsidR="00523268" w:rsidRPr="00F75A2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32668F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(Приложение №4 к Договору)</w:t>
            </w:r>
            <w:r w:rsidR="00523268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r w:rsidR="00523268" w:rsidRPr="00F75A23">
              <w:rPr>
                <w:rFonts w:ascii="Tahoma" w:hAnsi="Tahoma" w:cs="Tahoma"/>
                <w:sz w:val="20"/>
                <w:szCs w:val="20"/>
              </w:rPr>
              <w:t xml:space="preserve">и результат по заявке на обследование ОДПУ, нормативных ИПУ, </w:t>
            </w:r>
            <w:r w:rsidR="0032668F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</w:t>
            </w: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E4043F" w:rsidRPr="0034601D" w:rsidRDefault="00E4043F" w:rsidP="00F75A23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32668F" w:rsidRPr="00F75A2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ввода в эксплуатацию</w:t>
            </w:r>
            <w:r w:rsidR="0032668F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прибора учета электроэнергии (Приложение №6 к Договору)/ акты ввода в эксплуатацию приборов учета электрической энергии в электронной форме через приложение Заказчика (Мобильный контроллер)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32668F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акты о приемке выполненных Работ (форма №КС-2) в полном соответствии со сметной документацией и выполненным объемом работ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локальные сметы к актам о приемке выполненных работ;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="0032668F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справки о стоимости выполненных Работ и затрат (форма №КС-3), с возможностью изложения информации по видам выполненных работ и затратах в сводном виде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</w:p>
          <w:p w:rsidR="0032668F" w:rsidRPr="0034601D" w:rsidRDefault="0032668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копии счетов-фактур и товарных накладных (форма № ТОРГ-12) от поставщика Подрядчика, удостоверенные подписью руководителя Подрядчика и его печатью;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полный комплект приемо-сдаточной документации на установленные ПУ ИСУ и ТТ (паспорта, бланки и т.п.). 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8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Под этапом Работ</w:t>
            </w:r>
            <w:r w:rsidR="00517790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понимается период времени</w:t>
            </w:r>
            <w:r w:rsidR="000437F9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1 календарный месяц, завершающийся приемкой Результатов выполненных Работ, количества ПУ ИСУ установленных на объектах, с проведением необходимых работ, подтверждающих качество и их работоспособность, определенных в Техническом задании (Приложение №1 к Договору), и соответствующих требованиям Договора, с оплатой соразмерно объему исполненных обязательств за выполненную Работу по каждому этапу.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Также по факту приемки Заказчиком каждого этапа Работ Подрядчик должен предоставить приемо-сдаточную документацию, которая представляется в 2-х экземплярах в следующем объеме: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оформленную надлежащим образом монтажно-отчетную ведомость в формате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="001F3702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выгрузка из МК, монтажно-отчетную ведомость в формате </w:t>
            </w:r>
            <w:r w:rsidR="001F3702" w:rsidRPr="0034601D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Excel</w:t>
            </w:r>
            <w:r w:rsidR="001F3702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– по юридическим </w:t>
            </w:r>
            <w:r w:rsidR="00486A92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лицам,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 также материалы фотофиксации демонтированный и вновь установленных приборов учета</w:t>
            </w:r>
            <w:r w:rsidR="00860EE6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электроэнергии ИСУ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Наименование файлов фотофиксации должны быть пронумерованы и подписаны идентично нумерации и адресам установки отраженных в монтажной ведомости;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ведомость установленного ПУ ИСУ и ТТ с указанием заводских серийных номеров и мест установки каждой единицы оборудования;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инструкции, паспорта на оборудование и измерительные трансформаторы тока с отметками о местах установки;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пофамильные списки персонала, задействованного при производстве Работ, а также копии всех документов, подтверждающих его квалификацию;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-реестр актов о недопуске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- реестр актов отсутствия технической возможности, а также документы и материалы фотофиксации;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реестр актов приема-передачи демонтированного оборудования потребителям.</w:t>
            </w:r>
          </w:p>
        </w:tc>
      </w:tr>
      <w:tr w:rsidR="00E4043F" w:rsidRPr="0034601D" w:rsidTr="004F5962">
        <w:tc>
          <w:tcPr>
            <w:tcW w:w="518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:rsidR="00E4043F" w:rsidRPr="0034601D" w:rsidRDefault="00E4043F" w:rsidP="0034601D">
            <w:pPr>
              <w:spacing w:after="0" w:line="240" w:lineRule="auto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5943" w:type="dxa"/>
          </w:tcPr>
          <w:p w:rsidR="00860EE6" w:rsidRPr="0034601D" w:rsidRDefault="00860EE6" w:rsidP="004F5962">
            <w:pPr>
              <w:spacing w:after="0" w:line="240" w:lineRule="auto"/>
              <w:ind w:left="24" w:right="120" w:firstLine="30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4601D">
              <w:rPr>
                <w:rFonts w:ascii="Tahoma" w:hAnsi="Tahoma" w:cs="Tahoma"/>
                <w:sz w:val="20"/>
                <w:szCs w:val="20"/>
              </w:rPr>
              <w:t xml:space="preserve">Гарантийный срок на результат Работ, включая работы, материалы и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все конструктивные элементы объекта устанавливается на 36 (тридцать шесть) месяцев с даты подписания Сторонами Акта </w:t>
            </w:r>
            <w:r w:rsidR="00307378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</w:t>
            </w:r>
            <w:r w:rsidR="00307378"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даты подписания Сторонами Акта о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приемки выполненных работ (форма №КС-2) без замечаний</w:t>
            </w:r>
            <w:r w:rsidRPr="0034601D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4043F" w:rsidRPr="0034601D" w:rsidRDefault="00E4043F" w:rsidP="004F5962">
            <w:pPr>
              <w:spacing w:after="0" w:line="240" w:lineRule="auto"/>
              <w:ind w:firstLine="307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Гарантийный срок не распространяется на отображение показаний с прибора учета в </w:t>
            </w:r>
            <w:r w:rsidRPr="0034601D">
              <w:rPr>
                <w:rFonts w:ascii="Tahoma" w:hAnsi="Tahoma" w:cs="Tahoma"/>
                <w:sz w:val="20"/>
                <w:szCs w:val="20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7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уведомления Заказчиком </w:t>
            </w:r>
            <w:r w:rsidRPr="0034601D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7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прибытия представителя </w:t>
            </w:r>
            <w:r w:rsidRPr="0034601D">
              <w:rPr>
                <w:rFonts w:ascii="Tahoma" w:hAnsi="Tahoma" w:cs="Tahoma"/>
                <w:sz w:val="20"/>
                <w:szCs w:val="20"/>
              </w:rPr>
              <w:t>Подрядчика</w:t>
            </w: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, в случае обнаружения Недостатков, составляет 2 (два) рабочих дня с момента получения соответствующего уведомления Заказчика, если иной срок не указан в уведомлении.</w:t>
            </w:r>
          </w:p>
          <w:p w:rsidR="00E4043F" w:rsidRPr="0034601D" w:rsidRDefault="00E4043F" w:rsidP="004F5962">
            <w:pPr>
              <w:widowControl w:val="0"/>
              <w:numPr>
                <w:ilvl w:val="1"/>
                <w:numId w:val="27"/>
              </w:numPr>
              <w:spacing w:after="0" w:line="240" w:lineRule="auto"/>
              <w:ind w:left="0" w:firstLine="307"/>
              <w:contextualSpacing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Подрядчик должен предоставить Заказчику информацию по порядку и мерам устранения такого Недостатка в течение 5 (пяти) дней 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      </w:r>
          </w:p>
          <w:p w:rsidR="00E4043F" w:rsidRPr="0034601D" w:rsidRDefault="00E4043F" w:rsidP="004F5962">
            <w:pPr>
              <w:widowControl w:val="0"/>
              <w:spacing w:after="0" w:line="240" w:lineRule="auto"/>
              <w:ind w:firstLine="307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Срок устранения недостатков 10 (десять) рабочих </w:t>
            </w:r>
            <w:r w:rsidRPr="0034601D">
              <w:rPr>
                <w:rFonts w:ascii="Tahoma" w:hAnsi="Tahoma" w:cs="Tahoma"/>
                <w:sz w:val="20"/>
                <w:szCs w:val="20"/>
              </w:rPr>
              <w:t>дней</w:t>
            </w:r>
            <w:r w:rsidRPr="0034601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с момента уведомления Подрядчика Заказчиком о выявленных Недостатках, включая недостатки, выявленные в период гарантийного срока, если иной срок не будет согласован Сторонами в письменном виде. </w:t>
            </w:r>
            <w:r w:rsidRPr="0034601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в этом случае продлевается соответственно на период устранения Недостатков.</w:t>
            </w:r>
          </w:p>
        </w:tc>
      </w:tr>
      <w:tr w:rsidR="00EA3148" w:rsidRPr="0034601D" w:rsidTr="004F5962">
        <w:tc>
          <w:tcPr>
            <w:tcW w:w="518" w:type="dxa"/>
          </w:tcPr>
          <w:p w:rsidR="00EA3148" w:rsidRPr="007004E2" w:rsidRDefault="00EA3148" w:rsidP="00EA314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</w:tcPr>
          <w:p w:rsidR="00EA3148" w:rsidRPr="007004E2" w:rsidRDefault="00EA3148" w:rsidP="00EA3148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Приложения</w:t>
            </w:r>
            <w:bookmarkStart w:id="0" w:name="_GoBack"/>
            <w:bookmarkEnd w:id="0"/>
          </w:p>
        </w:tc>
        <w:tc>
          <w:tcPr>
            <w:tcW w:w="5943" w:type="dxa"/>
          </w:tcPr>
          <w:p w:rsidR="00EA3148" w:rsidRPr="00BA0F2B" w:rsidRDefault="00EA3148" w:rsidP="00EA31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Приложение №1. График производства работ;</w:t>
            </w:r>
          </w:p>
          <w:p w:rsidR="00EA3148" w:rsidRPr="00BA0F2B" w:rsidRDefault="00EA3148" w:rsidP="00EA31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Приложение №2. Ведомость объе</w:t>
            </w:r>
            <w:r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м</w:t>
            </w: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ов работ;</w:t>
            </w:r>
          </w:p>
          <w:p w:rsidR="00EA3148" w:rsidRPr="00BA0F2B" w:rsidRDefault="00EA3148" w:rsidP="00EA31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 xml:space="preserve">Приложение №3. </w:t>
            </w:r>
            <w:r w:rsidRPr="00E44C21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Перечень ТМЦ необходимых для выполнения работ по договору</w:t>
            </w: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;</w:t>
            </w:r>
          </w:p>
          <w:p w:rsidR="00EA3148" w:rsidRPr="00BA0F2B" w:rsidRDefault="00EA3148" w:rsidP="00EA314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BA0F2B"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Приложение №4. Форма Заявки на установку АРМ и предоставление допо</w:t>
            </w:r>
            <w:r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  <w:t>лнительных ИТ-услуг из Каталога</w:t>
            </w:r>
          </w:p>
          <w:p w:rsidR="00EA3148" w:rsidRPr="00CC22E6" w:rsidRDefault="00EA3148" w:rsidP="00EA3148">
            <w:pPr>
              <w:ind w:left="24" w:right="120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E4043F" w:rsidRDefault="00E4043F" w:rsidP="00C1214F">
      <w:pPr>
        <w:pStyle w:val="a6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947C9" w:rsidRPr="003947C9" w:rsidRDefault="003947C9" w:rsidP="003947C9">
      <w:pPr>
        <w:spacing w:after="0" w:line="240" w:lineRule="auto"/>
        <w:ind w:left="720"/>
        <w:contextualSpacing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AC38F3" w:rsidRDefault="00AC38F3" w:rsidP="004B25C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ahoma" w:hAnsi="Tahoma" w:cs="Tahoma"/>
          <w:sz w:val="20"/>
          <w:szCs w:val="20"/>
        </w:rPr>
      </w:pPr>
    </w:p>
    <w:sectPr w:rsidR="00AC38F3" w:rsidSect="004B25CF">
      <w:pgSz w:w="11906" w:h="16838"/>
      <w:pgMar w:top="709" w:right="707" w:bottom="709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44" w:rsidRDefault="00090C44" w:rsidP="00974DAE">
      <w:pPr>
        <w:spacing w:after="0" w:line="240" w:lineRule="auto"/>
      </w:pPr>
      <w:r>
        <w:separator/>
      </w:r>
    </w:p>
  </w:endnote>
  <w:endnote w:type="continuationSeparator" w:id="0">
    <w:p w:rsidR="00090C44" w:rsidRDefault="00090C44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44" w:rsidRDefault="00090C44" w:rsidP="00974DAE">
      <w:pPr>
        <w:spacing w:after="0" w:line="240" w:lineRule="auto"/>
      </w:pPr>
      <w:r>
        <w:separator/>
      </w:r>
    </w:p>
  </w:footnote>
  <w:footnote w:type="continuationSeparator" w:id="0">
    <w:p w:rsidR="00090C44" w:rsidRDefault="00090C44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F39E1"/>
    <w:multiLevelType w:val="multilevel"/>
    <w:tmpl w:val="D15AF4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8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3" w15:restartNumberingAfterBreak="0">
    <w:nsid w:val="3E324755"/>
    <w:multiLevelType w:val="hybridMultilevel"/>
    <w:tmpl w:val="965E3114"/>
    <w:lvl w:ilvl="0" w:tplc="C9264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B6325"/>
    <w:multiLevelType w:val="hybridMultilevel"/>
    <w:tmpl w:val="94727920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0C50410"/>
    <w:multiLevelType w:val="hybridMultilevel"/>
    <w:tmpl w:val="371CA1D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489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4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5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B6EC6"/>
    <w:multiLevelType w:val="multilevel"/>
    <w:tmpl w:val="D0C247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E6D0A37"/>
    <w:multiLevelType w:val="multilevel"/>
    <w:tmpl w:val="1486A13A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0" w15:restartNumberingAfterBreak="0">
    <w:nsid w:val="73443DC8"/>
    <w:multiLevelType w:val="hybridMultilevel"/>
    <w:tmpl w:val="C646E822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9"/>
  </w:num>
  <w:num w:numId="3">
    <w:abstractNumId w:val="20"/>
  </w:num>
  <w:num w:numId="4">
    <w:abstractNumId w:val="17"/>
  </w:num>
  <w:num w:numId="5">
    <w:abstractNumId w:val="21"/>
  </w:num>
  <w:num w:numId="6">
    <w:abstractNumId w:val="13"/>
  </w:num>
  <w:num w:numId="7">
    <w:abstractNumId w:val="28"/>
  </w:num>
  <w:num w:numId="8">
    <w:abstractNumId w:val="16"/>
  </w:num>
  <w:num w:numId="9">
    <w:abstractNumId w:val="4"/>
  </w:num>
  <w:num w:numId="10">
    <w:abstractNumId w:val="10"/>
  </w:num>
  <w:num w:numId="11">
    <w:abstractNumId w:val="14"/>
  </w:num>
  <w:num w:numId="12">
    <w:abstractNumId w:val="31"/>
  </w:num>
  <w:num w:numId="13">
    <w:abstractNumId w:val="25"/>
  </w:num>
  <w:num w:numId="14">
    <w:abstractNumId w:val="0"/>
  </w:num>
  <w:num w:numId="15">
    <w:abstractNumId w:val="22"/>
  </w:num>
  <w:num w:numId="16">
    <w:abstractNumId w:val="32"/>
  </w:num>
  <w:num w:numId="17">
    <w:abstractNumId w:val="24"/>
  </w:num>
  <w:num w:numId="18">
    <w:abstractNumId w:val="19"/>
  </w:num>
  <w:num w:numId="19">
    <w:abstractNumId w:val="5"/>
  </w:num>
  <w:num w:numId="20">
    <w:abstractNumId w:val="1"/>
  </w:num>
  <w:num w:numId="21">
    <w:abstractNumId w:val="2"/>
  </w:num>
  <w:num w:numId="22">
    <w:abstractNumId w:val="6"/>
  </w:num>
  <w:num w:numId="23">
    <w:abstractNumId w:val="3"/>
  </w:num>
  <w:num w:numId="24">
    <w:abstractNumId w:val="26"/>
  </w:num>
  <w:num w:numId="25">
    <w:abstractNumId w:val="15"/>
  </w:num>
  <w:num w:numId="26">
    <w:abstractNumId w:val="8"/>
  </w:num>
  <w:num w:numId="27">
    <w:abstractNumId w:val="12"/>
  </w:num>
  <w:num w:numId="28">
    <w:abstractNumId w:val="27"/>
  </w:num>
  <w:num w:numId="29">
    <w:abstractNumId w:val="29"/>
  </w:num>
  <w:num w:numId="30">
    <w:abstractNumId w:val="30"/>
  </w:num>
  <w:num w:numId="31">
    <w:abstractNumId w:val="11"/>
  </w:num>
  <w:num w:numId="32">
    <w:abstractNumId w:val="18"/>
  </w:num>
  <w:num w:numId="33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08B2"/>
    <w:rsid w:val="00001254"/>
    <w:rsid w:val="000013E8"/>
    <w:rsid w:val="0000256B"/>
    <w:rsid w:val="00003649"/>
    <w:rsid w:val="00003A06"/>
    <w:rsid w:val="00005447"/>
    <w:rsid w:val="00007366"/>
    <w:rsid w:val="000120CF"/>
    <w:rsid w:val="000137A8"/>
    <w:rsid w:val="00016243"/>
    <w:rsid w:val="00016854"/>
    <w:rsid w:val="000170FF"/>
    <w:rsid w:val="00017F07"/>
    <w:rsid w:val="0002141C"/>
    <w:rsid w:val="000240CA"/>
    <w:rsid w:val="0002666D"/>
    <w:rsid w:val="0003005E"/>
    <w:rsid w:val="00032736"/>
    <w:rsid w:val="00037B25"/>
    <w:rsid w:val="00037DFA"/>
    <w:rsid w:val="00040359"/>
    <w:rsid w:val="000411DE"/>
    <w:rsid w:val="000426E6"/>
    <w:rsid w:val="000437F9"/>
    <w:rsid w:val="00044DEE"/>
    <w:rsid w:val="00044E7A"/>
    <w:rsid w:val="00047423"/>
    <w:rsid w:val="00051D6C"/>
    <w:rsid w:val="00055770"/>
    <w:rsid w:val="000578D6"/>
    <w:rsid w:val="00060802"/>
    <w:rsid w:val="00060C76"/>
    <w:rsid w:val="00060E7C"/>
    <w:rsid w:val="00060F16"/>
    <w:rsid w:val="0006182D"/>
    <w:rsid w:val="000631F2"/>
    <w:rsid w:val="0006395D"/>
    <w:rsid w:val="000679DD"/>
    <w:rsid w:val="0007088F"/>
    <w:rsid w:val="00077B50"/>
    <w:rsid w:val="000817D6"/>
    <w:rsid w:val="000819EA"/>
    <w:rsid w:val="000825AD"/>
    <w:rsid w:val="000830C2"/>
    <w:rsid w:val="00085F21"/>
    <w:rsid w:val="00086098"/>
    <w:rsid w:val="00087205"/>
    <w:rsid w:val="00087654"/>
    <w:rsid w:val="00090C44"/>
    <w:rsid w:val="000959A6"/>
    <w:rsid w:val="00095A54"/>
    <w:rsid w:val="00095E7E"/>
    <w:rsid w:val="0009621C"/>
    <w:rsid w:val="0009631B"/>
    <w:rsid w:val="0009678C"/>
    <w:rsid w:val="00096E0E"/>
    <w:rsid w:val="00096E5D"/>
    <w:rsid w:val="00097179"/>
    <w:rsid w:val="00097483"/>
    <w:rsid w:val="000A1066"/>
    <w:rsid w:val="000A1874"/>
    <w:rsid w:val="000A2300"/>
    <w:rsid w:val="000A23C4"/>
    <w:rsid w:val="000A40ED"/>
    <w:rsid w:val="000A41B0"/>
    <w:rsid w:val="000A67FE"/>
    <w:rsid w:val="000B1474"/>
    <w:rsid w:val="000B1804"/>
    <w:rsid w:val="000B3913"/>
    <w:rsid w:val="000B4291"/>
    <w:rsid w:val="000B5388"/>
    <w:rsid w:val="000B7049"/>
    <w:rsid w:val="000B7200"/>
    <w:rsid w:val="000C3109"/>
    <w:rsid w:val="000C426C"/>
    <w:rsid w:val="000C6CCE"/>
    <w:rsid w:val="000D4BA4"/>
    <w:rsid w:val="000D50F0"/>
    <w:rsid w:val="000D6028"/>
    <w:rsid w:val="000D7B16"/>
    <w:rsid w:val="000D7B72"/>
    <w:rsid w:val="000E02A2"/>
    <w:rsid w:val="000E0B25"/>
    <w:rsid w:val="000E1D14"/>
    <w:rsid w:val="000E42FF"/>
    <w:rsid w:val="000E51AD"/>
    <w:rsid w:val="000F06E4"/>
    <w:rsid w:val="000F1F18"/>
    <w:rsid w:val="000F2428"/>
    <w:rsid w:val="000F296B"/>
    <w:rsid w:val="000F2F6E"/>
    <w:rsid w:val="000F4065"/>
    <w:rsid w:val="000F560B"/>
    <w:rsid w:val="000F7C8D"/>
    <w:rsid w:val="001014BF"/>
    <w:rsid w:val="0010167E"/>
    <w:rsid w:val="00101FA6"/>
    <w:rsid w:val="0011146C"/>
    <w:rsid w:val="00111616"/>
    <w:rsid w:val="00112D12"/>
    <w:rsid w:val="00114411"/>
    <w:rsid w:val="00114C6C"/>
    <w:rsid w:val="00115C1A"/>
    <w:rsid w:val="00115C31"/>
    <w:rsid w:val="00117CBB"/>
    <w:rsid w:val="00120248"/>
    <w:rsid w:val="001224D0"/>
    <w:rsid w:val="00122B53"/>
    <w:rsid w:val="001254D4"/>
    <w:rsid w:val="0012579E"/>
    <w:rsid w:val="00125857"/>
    <w:rsid w:val="00126EBB"/>
    <w:rsid w:val="00126EE4"/>
    <w:rsid w:val="0013331D"/>
    <w:rsid w:val="00137224"/>
    <w:rsid w:val="00137963"/>
    <w:rsid w:val="00142A7D"/>
    <w:rsid w:val="00143ABD"/>
    <w:rsid w:val="001472C1"/>
    <w:rsid w:val="001473FE"/>
    <w:rsid w:val="00147F0E"/>
    <w:rsid w:val="001548D1"/>
    <w:rsid w:val="00154A06"/>
    <w:rsid w:val="00157B9E"/>
    <w:rsid w:val="0016234B"/>
    <w:rsid w:val="001630E8"/>
    <w:rsid w:val="00163B48"/>
    <w:rsid w:val="001676C9"/>
    <w:rsid w:val="00170C93"/>
    <w:rsid w:val="00170F84"/>
    <w:rsid w:val="00171793"/>
    <w:rsid w:val="00172D17"/>
    <w:rsid w:val="001741A2"/>
    <w:rsid w:val="00177017"/>
    <w:rsid w:val="00177D37"/>
    <w:rsid w:val="00180162"/>
    <w:rsid w:val="00180392"/>
    <w:rsid w:val="00181AAD"/>
    <w:rsid w:val="00184A07"/>
    <w:rsid w:val="00184E99"/>
    <w:rsid w:val="00192B28"/>
    <w:rsid w:val="0019425C"/>
    <w:rsid w:val="00194397"/>
    <w:rsid w:val="001947FF"/>
    <w:rsid w:val="00195054"/>
    <w:rsid w:val="001951EA"/>
    <w:rsid w:val="00196040"/>
    <w:rsid w:val="00197D20"/>
    <w:rsid w:val="001A096A"/>
    <w:rsid w:val="001A2096"/>
    <w:rsid w:val="001A7476"/>
    <w:rsid w:val="001A7706"/>
    <w:rsid w:val="001B0EE0"/>
    <w:rsid w:val="001B4266"/>
    <w:rsid w:val="001B72EC"/>
    <w:rsid w:val="001B7F77"/>
    <w:rsid w:val="001C2811"/>
    <w:rsid w:val="001C52C5"/>
    <w:rsid w:val="001D2070"/>
    <w:rsid w:val="001D4644"/>
    <w:rsid w:val="001D6E51"/>
    <w:rsid w:val="001D7494"/>
    <w:rsid w:val="001E267E"/>
    <w:rsid w:val="001E5C9A"/>
    <w:rsid w:val="001E5F02"/>
    <w:rsid w:val="001F0ACB"/>
    <w:rsid w:val="001F1066"/>
    <w:rsid w:val="001F2490"/>
    <w:rsid w:val="001F3702"/>
    <w:rsid w:val="001F3B4B"/>
    <w:rsid w:val="001F4433"/>
    <w:rsid w:val="001F4F5C"/>
    <w:rsid w:val="001F6236"/>
    <w:rsid w:val="00201BA6"/>
    <w:rsid w:val="00201D6D"/>
    <w:rsid w:val="00202A27"/>
    <w:rsid w:val="00202F23"/>
    <w:rsid w:val="00203324"/>
    <w:rsid w:val="00207719"/>
    <w:rsid w:val="0021173C"/>
    <w:rsid w:val="00212102"/>
    <w:rsid w:val="00212B21"/>
    <w:rsid w:val="00214193"/>
    <w:rsid w:val="0021487F"/>
    <w:rsid w:val="00214F7C"/>
    <w:rsid w:val="00215165"/>
    <w:rsid w:val="00215C9E"/>
    <w:rsid w:val="002171D9"/>
    <w:rsid w:val="00220562"/>
    <w:rsid w:val="00221180"/>
    <w:rsid w:val="002218F2"/>
    <w:rsid w:val="0022233B"/>
    <w:rsid w:val="00223F54"/>
    <w:rsid w:val="0022490B"/>
    <w:rsid w:val="00225875"/>
    <w:rsid w:val="00231AA5"/>
    <w:rsid w:val="0023251E"/>
    <w:rsid w:val="00233D48"/>
    <w:rsid w:val="00236141"/>
    <w:rsid w:val="00236912"/>
    <w:rsid w:val="00236BA9"/>
    <w:rsid w:val="0024024A"/>
    <w:rsid w:val="00241529"/>
    <w:rsid w:val="00242FFA"/>
    <w:rsid w:val="002434B2"/>
    <w:rsid w:val="00243C7E"/>
    <w:rsid w:val="00246331"/>
    <w:rsid w:val="00250098"/>
    <w:rsid w:val="00250975"/>
    <w:rsid w:val="00251B99"/>
    <w:rsid w:val="00252F4F"/>
    <w:rsid w:val="00255648"/>
    <w:rsid w:val="00256328"/>
    <w:rsid w:val="00261199"/>
    <w:rsid w:val="00261341"/>
    <w:rsid w:val="00261369"/>
    <w:rsid w:val="00263289"/>
    <w:rsid w:val="00263FE6"/>
    <w:rsid w:val="00264776"/>
    <w:rsid w:val="002654BD"/>
    <w:rsid w:val="002660E9"/>
    <w:rsid w:val="00266D0A"/>
    <w:rsid w:val="00267CE3"/>
    <w:rsid w:val="002729C1"/>
    <w:rsid w:val="00272F1B"/>
    <w:rsid w:val="00274B99"/>
    <w:rsid w:val="00277075"/>
    <w:rsid w:val="00280F1B"/>
    <w:rsid w:val="00282B74"/>
    <w:rsid w:val="0028335A"/>
    <w:rsid w:val="002837F4"/>
    <w:rsid w:val="00283A54"/>
    <w:rsid w:val="00284C41"/>
    <w:rsid w:val="002853F1"/>
    <w:rsid w:val="002914D2"/>
    <w:rsid w:val="00291B65"/>
    <w:rsid w:val="00291E68"/>
    <w:rsid w:val="00294ACC"/>
    <w:rsid w:val="002971B0"/>
    <w:rsid w:val="00297FC5"/>
    <w:rsid w:val="002A147D"/>
    <w:rsid w:val="002A32FC"/>
    <w:rsid w:val="002A3462"/>
    <w:rsid w:val="002A4373"/>
    <w:rsid w:val="002A5F18"/>
    <w:rsid w:val="002A7247"/>
    <w:rsid w:val="002A7318"/>
    <w:rsid w:val="002A7FB3"/>
    <w:rsid w:val="002B1320"/>
    <w:rsid w:val="002B2BA3"/>
    <w:rsid w:val="002B3DFF"/>
    <w:rsid w:val="002B5A8F"/>
    <w:rsid w:val="002B675A"/>
    <w:rsid w:val="002B6DF4"/>
    <w:rsid w:val="002B71CF"/>
    <w:rsid w:val="002C041E"/>
    <w:rsid w:val="002C1B28"/>
    <w:rsid w:val="002D2CFE"/>
    <w:rsid w:val="002D3337"/>
    <w:rsid w:val="002D42EC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4392"/>
    <w:rsid w:val="00301675"/>
    <w:rsid w:val="00301E87"/>
    <w:rsid w:val="00302600"/>
    <w:rsid w:val="00303CA4"/>
    <w:rsid w:val="00303E52"/>
    <w:rsid w:val="00304EAE"/>
    <w:rsid w:val="00307378"/>
    <w:rsid w:val="0030743B"/>
    <w:rsid w:val="00307C37"/>
    <w:rsid w:val="003105EE"/>
    <w:rsid w:val="0031166A"/>
    <w:rsid w:val="003127A1"/>
    <w:rsid w:val="00313FB5"/>
    <w:rsid w:val="00314D33"/>
    <w:rsid w:val="003157A9"/>
    <w:rsid w:val="00320A4E"/>
    <w:rsid w:val="00320E9F"/>
    <w:rsid w:val="00321B69"/>
    <w:rsid w:val="0032388B"/>
    <w:rsid w:val="00324EE1"/>
    <w:rsid w:val="003261FC"/>
    <w:rsid w:val="0032624C"/>
    <w:rsid w:val="0032668F"/>
    <w:rsid w:val="00327F0B"/>
    <w:rsid w:val="00330DDF"/>
    <w:rsid w:val="00330E66"/>
    <w:rsid w:val="00331515"/>
    <w:rsid w:val="00331C48"/>
    <w:rsid w:val="00331FE7"/>
    <w:rsid w:val="003324F3"/>
    <w:rsid w:val="0033728D"/>
    <w:rsid w:val="003372DD"/>
    <w:rsid w:val="00337CDC"/>
    <w:rsid w:val="00337D81"/>
    <w:rsid w:val="003410F6"/>
    <w:rsid w:val="00343ABC"/>
    <w:rsid w:val="0034601D"/>
    <w:rsid w:val="00347DC9"/>
    <w:rsid w:val="00350135"/>
    <w:rsid w:val="003534EF"/>
    <w:rsid w:val="003547CD"/>
    <w:rsid w:val="00354BAA"/>
    <w:rsid w:val="00355B1B"/>
    <w:rsid w:val="003570A1"/>
    <w:rsid w:val="00361EB6"/>
    <w:rsid w:val="0036418A"/>
    <w:rsid w:val="00364E6F"/>
    <w:rsid w:val="00366F2D"/>
    <w:rsid w:val="00371B55"/>
    <w:rsid w:val="00372DD2"/>
    <w:rsid w:val="0037422E"/>
    <w:rsid w:val="003758DE"/>
    <w:rsid w:val="0037637D"/>
    <w:rsid w:val="00376972"/>
    <w:rsid w:val="0037766E"/>
    <w:rsid w:val="003818B9"/>
    <w:rsid w:val="003819F7"/>
    <w:rsid w:val="00382B16"/>
    <w:rsid w:val="00383273"/>
    <w:rsid w:val="00391977"/>
    <w:rsid w:val="00393C09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4E3E"/>
    <w:rsid w:val="003B64F5"/>
    <w:rsid w:val="003B6DD8"/>
    <w:rsid w:val="003B73BC"/>
    <w:rsid w:val="003B7826"/>
    <w:rsid w:val="003C00A0"/>
    <w:rsid w:val="003C11A1"/>
    <w:rsid w:val="003C2EB3"/>
    <w:rsid w:val="003D0386"/>
    <w:rsid w:val="003D5A13"/>
    <w:rsid w:val="003D6394"/>
    <w:rsid w:val="003E00D3"/>
    <w:rsid w:val="003E08A7"/>
    <w:rsid w:val="003E0BD2"/>
    <w:rsid w:val="003E2813"/>
    <w:rsid w:val="003E2A70"/>
    <w:rsid w:val="003E2B98"/>
    <w:rsid w:val="003E3EEB"/>
    <w:rsid w:val="003E4EE6"/>
    <w:rsid w:val="003E501F"/>
    <w:rsid w:val="003F07DB"/>
    <w:rsid w:val="003F0CEE"/>
    <w:rsid w:val="003F15C7"/>
    <w:rsid w:val="003F3E46"/>
    <w:rsid w:val="003F4874"/>
    <w:rsid w:val="003F509F"/>
    <w:rsid w:val="003F79FB"/>
    <w:rsid w:val="003F7C66"/>
    <w:rsid w:val="004009EC"/>
    <w:rsid w:val="00401731"/>
    <w:rsid w:val="00402212"/>
    <w:rsid w:val="00405229"/>
    <w:rsid w:val="00406013"/>
    <w:rsid w:val="004067B7"/>
    <w:rsid w:val="00407A9E"/>
    <w:rsid w:val="004123AE"/>
    <w:rsid w:val="004125B4"/>
    <w:rsid w:val="00412BBE"/>
    <w:rsid w:val="00415EC3"/>
    <w:rsid w:val="004163E5"/>
    <w:rsid w:val="0041744D"/>
    <w:rsid w:val="0042058C"/>
    <w:rsid w:val="004230E0"/>
    <w:rsid w:val="00424CDB"/>
    <w:rsid w:val="004269A7"/>
    <w:rsid w:val="0042774F"/>
    <w:rsid w:val="00430D49"/>
    <w:rsid w:val="00431F92"/>
    <w:rsid w:val="00432492"/>
    <w:rsid w:val="00434975"/>
    <w:rsid w:val="00434DE7"/>
    <w:rsid w:val="00435178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2E6E"/>
    <w:rsid w:val="00453932"/>
    <w:rsid w:val="00454BA2"/>
    <w:rsid w:val="00455646"/>
    <w:rsid w:val="00461F55"/>
    <w:rsid w:val="00462BD0"/>
    <w:rsid w:val="00463011"/>
    <w:rsid w:val="00463889"/>
    <w:rsid w:val="00464F0A"/>
    <w:rsid w:val="00472AAD"/>
    <w:rsid w:val="004746E9"/>
    <w:rsid w:val="004759E6"/>
    <w:rsid w:val="00476155"/>
    <w:rsid w:val="00476348"/>
    <w:rsid w:val="00481414"/>
    <w:rsid w:val="00481BF1"/>
    <w:rsid w:val="0048252A"/>
    <w:rsid w:val="00484384"/>
    <w:rsid w:val="00484CE1"/>
    <w:rsid w:val="00485577"/>
    <w:rsid w:val="004862F8"/>
    <w:rsid w:val="0048660C"/>
    <w:rsid w:val="00486A92"/>
    <w:rsid w:val="00487982"/>
    <w:rsid w:val="00490256"/>
    <w:rsid w:val="00492072"/>
    <w:rsid w:val="00493406"/>
    <w:rsid w:val="00493905"/>
    <w:rsid w:val="00493E81"/>
    <w:rsid w:val="004940D5"/>
    <w:rsid w:val="00496C9A"/>
    <w:rsid w:val="004971CB"/>
    <w:rsid w:val="004A1182"/>
    <w:rsid w:val="004A1454"/>
    <w:rsid w:val="004A3A5B"/>
    <w:rsid w:val="004A4483"/>
    <w:rsid w:val="004A5FD9"/>
    <w:rsid w:val="004A61F7"/>
    <w:rsid w:val="004A700A"/>
    <w:rsid w:val="004B0048"/>
    <w:rsid w:val="004B0934"/>
    <w:rsid w:val="004B0BEE"/>
    <w:rsid w:val="004B18DF"/>
    <w:rsid w:val="004B1FA5"/>
    <w:rsid w:val="004B25CF"/>
    <w:rsid w:val="004B2635"/>
    <w:rsid w:val="004B31D2"/>
    <w:rsid w:val="004B405A"/>
    <w:rsid w:val="004B6F45"/>
    <w:rsid w:val="004B7BF8"/>
    <w:rsid w:val="004C0AC5"/>
    <w:rsid w:val="004C2566"/>
    <w:rsid w:val="004C29B1"/>
    <w:rsid w:val="004C3311"/>
    <w:rsid w:val="004C481F"/>
    <w:rsid w:val="004C6865"/>
    <w:rsid w:val="004C69A4"/>
    <w:rsid w:val="004C6A51"/>
    <w:rsid w:val="004C6F39"/>
    <w:rsid w:val="004D156F"/>
    <w:rsid w:val="004D4C36"/>
    <w:rsid w:val="004D7C9A"/>
    <w:rsid w:val="004E2272"/>
    <w:rsid w:val="004E56DC"/>
    <w:rsid w:val="004F10FD"/>
    <w:rsid w:val="004F2557"/>
    <w:rsid w:val="004F2561"/>
    <w:rsid w:val="004F286D"/>
    <w:rsid w:val="004F4133"/>
    <w:rsid w:val="004F434F"/>
    <w:rsid w:val="004F5962"/>
    <w:rsid w:val="004F7593"/>
    <w:rsid w:val="0050119E"/>
    <w:rsid w:val="00502294"/>
    <w:rsid w:val="00503A52"/>
    <w:rsid w:val="0051041B"/>
    <w:rsid w:val="00510998"/>
    <w:rsid w:val="00513417"/>
    <w:rsid w:val="0051637E"/>
    <w:rsid w:val="00517790"/>
    <w:rsid w:val="00520429"/>
    <w:rsid w:val="00520D71"/>
    <w:rsid w:val="00522F23"/>
    <w:rsid w:val="00523268"/>
    <w:rsid w:val="005244ED"/>
    <w:rsid w:val="0052668F"/>
    <w:rsid w:val="00526F62"/>
    <w:rsid w:val="00527EFB"/>
    <w:rsid w:val="00531509"/>
    <w:rsid w:val="005339E0"/>
    <w:rsid w:val="00534900"/>
    <w:rsid w:val="005372AA"/>
    <w:rsid w:val="0054110A"/>
    <w:rsid w:val="005446F5"/>
    <w:rsid w:val="00544B3A"/>
    <w:rsid w:val="00550A3A"/>
    <w:rsid w:val="0055173E"/>
    <w:rsid w:val="00553076"/>
    <w:rsid w:val="00553362"/>
    <w:rsid w:val="005556F5"/>
    <w:rsid w:val="00555A24"/>
    <w:rsid w:val="00556DCE"/>
    <w:rsid w:val="00561EA1"/>
    <w:rsid w:val="00563F86"/>
    <w:rsid w:val="00566CA3"/>
    <w:rsid w:val="00566F06"/>
    <w:rsid w:val="00571CBE"/>
    <w:rsid w:val="00573509"/>
    <w:rsid w:val="00574233"/>
    <w:rsid w:val="00574F83"/>
    <w:rsid w:val="005822C5"/>
    <w:rsid w:val="0058538C"/>
    <w:rsid w:val="0058581F"/>
    <w:rsid w:val="005858BF"/>
    <w:rsid w:val="0059057C"/>
    <w:rsid w:val="00592B80"/>
    <w:rsid w:val="0059384B"/>
    <w:rsid w:val="0059448F"/>
    <w:rsid w:val="0059470E"/>
    <w:rsid w:val="0059471F"/>
    <w:rsid w:val="00594F7C"/>
    <w:rsid w:val="00595C8E"/>
    <w:rsid w:val="005A1165"/>
    <w:rsid w:val="005A20F3"/>
    <w:rsid w:val="005A2C1D"/>
    <w:rsid w:val="005A74BB"/>
    <w:rsid w:val="005B010F"/>
    <w:rsid w:val="005B0750"/>
    <w:rsid w:val="005B1537"/>
    <w:rsid w:val="005B197F"/>
    <w:rsid w:val="005B23B8"/>
    <w:rsid w:val="005B3D62"/>
    <w:rsid w:val="005B3F72"/>
    <w:rsid w:val="005B4E2D"/>
    <w:rsid w:val="005B5438"/>
    <w:rsid w:val="005B6C8E"/>
    <w:rsid w:val="005C12D5"/>
    <w:rsid w:val="005C3FCC"/>
    <w:rsid w:val="005C48C1"/>
    <w:rsid w:val="005C4EC5"/>
    <w:rsid w:val="005C5C1D"/>
    <w:rsid w:val="005C678A"/>
    <w:rsid w:val="005D0349"/>
    <w:rsid w:val="005D0A6C"/>
    <w:rsid w:val="005D1BE7"/>
    <w:rsid w:val="005D3CFC"/>
    <w:rsid w:val="005E11A4"/>
    <w:rsid w:val="005E245C"/>
    <w:rsid w:val="005E3BFC"/>
    <w:rsid w:val="005E59BE"/>
    <w:rsid w:val="005E62AF"/>
    <w:rsid w:val="005E6E21"/>
    <w:rsid w:val="005F151D"/>
    <w:rsid w:val="005F1DCC"/>
    <w:rsid w:val="005F3434"/>
    <w:rsid w:val="005F3FB5"/>
    <w:rsid w:val="005F68A4"/>
    <w:rsid w:val="006006AE"/>
    <w:rsid w:val="00603006"/>
    <w:rsid w:val="0060342A"/>
    <w:rsid w:val="00605A8B"/>
    <w:rsid w:val="00610122"/>
    <w:rsid w:val="0061035E"/>
    <w:rsid w:val="00610886"/>
    <w:rsid w:val="00611C97"/>
    <w:rsid w:val="00612AEE"/>
    <w:rsid w:val="0061322C"/>
    <w:rsid w:val="006138E3"/>
    <w:rsid w:val="0061440B"/>
    <w:rsid w:val="00614B80"/>
    <w:rsid w:val="00615A6C"/>
    <w:rsid w:val="00617022"/>
    <w:rsid w:val="00620A1C"/>
    <w:rsid w:val="00622557"/>
    <w:rsid w:val="006229D5"/>
    <w:rsid w:val="0062342D"/>
    <w:rsid w:val="00623712"/>
    <w:rsid w:val="006251EB"/>
    <w:rsid w:val="0062522D"/>
    <w:rsid w:val="006270F9"/>
    <w:rsid w:val="0063015B"/>
    <w:rsid w:val="0063275C"/>
    <w:rsid w:val="00633A9D"/>
    <w:rsid w:val="00633ADF"/>
    <w:rsid w:val="00634BEB"/>
    <w:rsid w:val="00634FBD"/>
    <w:rsid w:val="006358F4"/>
    <w:rsid w:val="00636619"/>
    <w:rsid w:val="00636D1F"/>
    <w:rsid w:val="006419B4"/>
    <w:rsid w:val="00642115"/>
    <w:rsid w:val="00642817"/>
    <w:rsid w:val="00643301"/>
    <w:rsid w:val="00643F1D"/>
    <w:rsid w:val="0064401D"/>
    <w:rsid w:val="00644F17"/>
    <w:rsid w:val="006478D2"/>
    <w:rsid w:val="006500D0"/>
    <w:rsid w:val="00650A9E"/>
    <w:rsid w:val="006523FE"/>
    <w:rsid w:val="00657969"/>
    <w:rsid w:val="00667F60"/>
    <w:rsid w:val="00671600"/>
    <w:rsid w:val="0067279D"/>
    <w:rsid w:val="00674158"/>
    <w:rsid w:val="00674504"/>
    <w:rsid w:val="00676FBB"/>
    <w:rsid w:val="006772FD"/>
    <w:rsid w:val="0067754F"/>
    <w:rsid w:val="00677BB1"/>
    <w:rsid w:val="00680A16"/>
    <w:rsid w:val="00680FE8"/>
    <w:rsid w:val="0068213C"/>
    <w:rsid w:val="006903B6"/>
    <w:rsid w:val="006977D6"/>
    <w:rsid w:val="006A1A57"/>
    <w:rsid w:val="006A5603"/>
    <w:rsid w:val="006A762D"/>
    <w:rsid w:val="006A7954"/>
    <w:rsid w:val="006B0B03"/>
    <w:rsid w:val="006B243E"/>
    <w:rsid w:val="006B45E1"/>
    <w:rsid w:val="006B4F73"/>
    <w:rsid w:val="006B5F89"/>
    <w:rsid w:val="006B6CCD"/>
    <w:rsid w:val="006C08D1"/>
    <w:rsid w:val="006C0BB3"/>
    <w:rsid w:val="006C1326"/>
    <w:rsid w:val="006C3586"/>
    <w:rsid w:val="006C59DF"/>
    <w:rsid w:val="006C6FCA"/>
    <w:rsid w:val="006C706A"/>
    <w:rsid w:val="006C7B46"/>
    <w:rsid w:val="006D07A6"/>
    <w:rsid w:val="006D23F9"/>
    <w:rsid w:val="006D2772"/>
    <w:rsid w:val="006D418F"/>
    <w:rsid w:val="006D47B1"/>
    <w:rsid w:val="006D4EA0"/>
    <w:rsid w:val="006D6374"/>
    <w:rsid w:val="006D6E5E"/>
    <w:rsid w:val="006D785A"/>
    <w:rsid w:val="006E14F8"/>
    <w:rsid w:val="006E2C52"/>
    <w:rsid w:val="006E39C8"/>
    <w:rsid w:val="006E39F1"/>
    <w:rsid w:val="006F033E"/>
    <w:rsid w:val="006F06A8"/>
    <w:rsid w:val="006F524F"/>
    <w:rsid w:val="006F61B2"/>
    <w:rsid w:val="0070636F"/>
    <w:rsid w:val="00706AE4"/>
    <w:rsid w:val="0070728F"/>
    <w:rsid w:val="0070789D"/>
    <w:rsid w:val="00710323"/>
    <w:rsid w:val="007103B6"/>
    <w:rsid w:val="007109E9"/>
    <w:rsid w:val="0071515E"/>
    <w:rsid w:val="00716E9F"/>
    <w:rsid w:val="00717F43"/>
    <w:rsid w:val="00723DA7"/>
    <w:rsid w:val="007253EE"/>
    <w:rsid w:val="007263FC"/>
    <w:rsid w:val="007267E1"/>
    <w:rsid w:val="00726D02"/>
    <w:rsid w:val="007279B8"/>
    <w:rsid w:val="00730579"/>
    <w:rsid w:val="00730F97"/>
    <w:rsid w:val="007318DC"/>
    <w:rsid w:val="00732AA5"/>
    <w:rsid w:val="00732EFD"/>
    <w:rsid w:val="00734605"/>
    <w:rsid w:val="00734DAD"/>
    <w:rsid w:val="007358CF"/>
    <w:rsid w:val="00735DBE"/>
    <w:rsid w:val="007401B7"/>
    <w:rsid w:val="007402B7"/>
    <w:rsid w:val="0074100A"/>
    <w:rsid w:val="00743699"/>
    <w:rsid w:val="007476EA"/>
    <w:rsid w:val="00750EC3"/>
    <w:rsid w:val="007513D8"/>
    <w:rsid w:val="0075436F"/>
    <w:rsid w:val="00755A6C"/>
    <w:rsid w:val="00757851"/>
    <w:rsid w:val="00757A85"/>
    <w:rsid w:val="007610CD"/>
    <w:rsid w:val="007612D9"/>
    <w:rsid w:val="00761364"/>
    <w:rsid w:val="0076221A"/>
    <w:rsid w:val="00762EA2"/>
    <w:rsid w:val="007633E6"/>
    <w:rsid w:val="00763C6D"/>
    <w:rsid w:val="007648FE"/>
    <w:rsid w:val="00764DA1"/>
    <w:rsid w:val="0076542B"/>
    <w:rsid w:val="007655C1"/>
    <w:rsid w:val="0076783A"/>
    <w:rsid w:val="00771C1A"/>
    <w:rsid w:val="00774B68"/>
    <w:rsid w:val="00774F55"/>
    <w:rsid w:val="00776503"/>
    <w:rsid w:val="007765F7"/>
    <w:rsid w:val="0077783D"/>
    <w:rsid w:val="0078101D"/>
    <w:rsid w:val="007823D3"/>
    <w:rsid w:val="0078555F"/>
    <w:rsid w:val="00787BED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547F"/>
    <w:rsid w:val="007A6B26"/>
    <w:rsid w:val="007A75F9"/>
    <w:rsid w:val="007A7D37"/>
    <w:rsid w:val="007B009A"/>
    <w:rsid w:val="007B00FA"/>
    <w:rsid w:val="007B0D12"/>
    <w:rsid w:val="007B2BB1"/>
    <w:rsid w:val="007C120E"/>
    <w:rsid w:val="007C7F5C"/>
    <w:rsid w:val="007D0D57"/>
    <w:rsid w:val="007D18C0"/>
    <w:rsid w:val="007D1B3F"/>
    <w:rsid w:val="007D228C"/>
    <w:rsid w:val="007D2936"/>
    <w:rsid w:val="007D633D"/>
    <w:rsid w:val="007E09EA"/>
    <w:rsid w:val="007E0A04"/>
    <w:rsid w:val="007E0EE3"/>
    <w:rsid w:val="007E1FCF"/>
    <w:rsid w:val="007E3167"/>
    <w:rsid w:val="007E6BC7"/>
    <w:rsid w:val="007F0A63"/>
    <w:rsid w:val="007F2334"/>
    <w:rsid w:val="007F2C80"/>
    <w:rsid w:val="007F4251"/>
    <w:rsid w:val="007F4258"/>
    <w:rsid w:val="007F4288"/>
    <w:rsid w:val="007F51B2"/>
    <w:rsid w:val="007F51E1"/>
    <w:rsid w:val="007F5277"/>
    <w:rsid w:val="007F5A45"/>
    <w:rsid w:val="007F70DB"/>
    <w:rsid w:val="00813153"/>
    <w:rsid w:val="00813599"/>
    <w:rsid w:val="00813E2B"/>
    <w:rsid w:val="0081618C"/>
    <w:rsid w:val="0082153A"/>
    <w:rsid w:val="0082349C"/>
    <w:rsid w:val="00825759"/>
    <w:rsid w:val="00826984"/>
    <w:rsid w:val="008273B7"/>
    <w:rsid w:val="008321E1"/>
    <w:rsid w:val="008359FB"/>
    <w:rsid w:val="0083752E"/>
    <w:rsid w:val="008377D5"/>
    <w:rsid w:val="008429CB"/>
    <w:rsid w:val="008442CC"/>
    <w:rsid w:val="00844D63"/>
    <w:rsid w:val="0084554D"/>
    <w:rsid w:val="00847D6C"/>
    <w:rsid w:val="008510FA"/>
    <w:rsid w:val="00854FBC"/>
    <w:rsid w:val="008602E7"/>
    <w:rsid w:val="00860EE6"/>
    <w:rsid w:val="00860FF6"/>
    <w:rsid w:val="00861C1D"/>
    <w:rsid w:val="00863B5D"/>
    <w:rsid w:val="00865A61"/>
    <w:rsid w:val="0086647A"/>
    <w:rsid w:val="0086659D"/>
    <w:rsid w:val="008671C1"/>
    <w:rsid w:val="00872D51"/>
    <w:rsid w:val="00876985"/>
    <w:rsid w:val="00877B16"/>
    <w:rsid w:val="00880D51"/>
    <w:rsid w:val="00885308"/>
    <w:rsid w:val="0088790F"/>
    <w:rsid w:val="0089040A"/>
    <w:rsid w:val="00891A9C"/>
    <w:rsid w:val="00892FCC"/>
    <w:rsid w:val="008934DA"/>
    <w:rsid w:val="008958FF"/>
    <w:rsid w:val="00897FC8"/>
    <w:rsid w:val="008A0511"/>
    <w:rsid w:val="008A06C1"/>
    <w:rsid w:val="008A083B"/>
    <w:rsid w:val="008A7535"/>
    <w:rsid w:val="008B128B"/>
    <w:rsid w:val="008B228C"/>
    <w:rsid w:val="008B22A4"/>
    <w:rsid w:val="008B2EB0"/>
    <w:rsid w:val="008B4A09"/>
    <w:rsid w:val="008B5ACB"/>
    <w:rsid w:val="008B6B04"/>
    <w:rsid w:val="008B6FB3"/>
    <w:rsid w:val="008B76F5"/>
    <w:rsid w:val="008B781E"/>
    <w:rsid w:val="008B7C55"/>
    <w:rsid w:val="008B7DBF"/>
    <w:rsid w:val="008C368C"/>
    <w:rsid w:val="008C3EB2"/>
    <w:rsid w:val="008C403E"/>
    <w:rsid w:val="008C57DC"/>
    <w:rsid w:val="008C6DB1"/>
    <w:rsid w:val="008D1D7B"/>
    <w:rsid w:val="008D1D8D"/>
    <w:rsid w:val="008D334C"/>
    <w:rsid w:val="008D75E3"/>
    <w:rsid w:val="008E1599"/>
    <w:rsid w:val="008E4660"/>
    <w:rsid w:val="008E4BAC"/>
    <w:rsid w:val="008F0817"/>
    <w:rsid w:val="008F0A08"/>
    <w:rsid w:val="008F46A1"/>
    <w:rsid w:val="008F6133"/>
    <w:rsid w:val="008F7198"/>
    <w:rsid w:val="008F7648"/>
    <w:rsid w:val="008F781B"/>
    <w:rsid w:val="008F7873"/>
    <w:rsid w:val="00900011"/>
    <w:rsid w:val="0090076F"/>
    <w:rsid w:val="00900B20"/>
    <w:rsid w:val="00903383"/>
    <w:rsid w:val="00904AAF"/>
    <w:rsid w:val="009063B9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6676"/>
    <w:rsid w:val="00927E88"/>
    <w:rsid w:val="0093014F"/>
    <w:rsid w:val="00930F68"/>
    <w:rsid w:val="009320A6"/>
    <w:rsid w:val="009326D3"/>
    <w:rsid w:val="00932F4F"/>
    <w:rsid w:val="00933AED"/>
    <w:rsid w:val="00933DF7"/>
    <w:rsid w:val="00933EE5"/>
    <w:rsid w:val="0093794D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66E97"/>
    <w:rsid w:val="00971B35"/>
    <w:rsid w:val="00972AD2"/>
    <w:rsid w:val="00973EAA"/>
    <w:rsid w:val="00974145"/>
    <w:rsid w:val="00974DAE"/>
    <w:rsid w:val="009804D8"/>
    <w:rsid w:val="00982045"/>
    <w:rsid w:val="0098330E"/>
    <w:rsid w:val="00990DCC"/>
    <w:rsid w:val="00991AFD"/>
    <w:rsid w:val="00991EA7"/>
    <w:rsid w:val="009928C9"/>
    <w:rsid w:val="009932D4"/>
    <w:rsid w:val="00995665"/>
    <w:rsid w:val="00996F41"/>
    <w:rsid w:val="009A1299"/>
    <w:rsid w:val="009A1CDD"/>
    <w:rsid w:val="009A26C8"/>
    <w:rsid w:val="009A27E1"/>
    <w:rsid w:val="009A2858"/>
    <w:rsid w:val="009B1F6D"/>
    <w:rsid w:val="009B25F5"/>
    <w:rsid w:val="009B3F06"/>
    <w:rsid w:val="009B59C8"/>
    <w:rsid w:val="009B5D65"/>
    <w:rsid w:val="009B6E2E"/>
    <w:rsid w:val="009C2816"/>
    <w:rsid w:val="009C3429"/>
    <w:rsid w:val="009C42A8"/>
    <w:rsid w:val="009C448E"/>
    <w:rsid w:val="009C4978"/>
    <w:rsid w:val="009C7DF4"/>
    <w:rsid w:val="009D1D4B"/>
    <w:rsid w:val="009D378B"/>
    <w:rsid w:val="009D3F17"/>
    <w:rsid w:val="009D443A"/>
    <w:rsid w:val="009D4BC3"/>
    <w:rsid w:val="009E37A5"/>
    <w:rsid w:val="009E71A9"/>
    <w:rsid w:val="009E7C1D"/>
    <w:rsid w:val="009E7C7F"/>
    <w:rsid w:val="009F0A7D"/>
    <w:rsid w:val="009F1DFF"/>
    <w:rsid w:val="009F274A"/>
    <w:rsid w:val="009F2FA8"/>
    <w:rsid w:val="009F354E"/>
    <w:rsid w:val="009F4FB2"/>
    <w:rsid w:val="00A0048B"/>
    <w:rsid w:val="00A00E14"/>
    <w:rsid w:val="00A01EDD"/>
    <w:rsid w:val="00A023E0"/>
    <w:rsid w:val="00A052A5"/>
    <w:rsid w:val="00A06FF1"/>
    <w:rsid w:val="00A11086"/>
    <w:rsid w:val="00A13892"/>
    <w:rsid w:val="00A143DE"/>
    <w:rsid w:val="00A15A5E"/>
    <w:rsid w:val="00A15E70"/>
    <w:rsid w:val="00A162EB"/>
    <w:rsid w:val="00A26BA1"/>
    <w:rsid w:val="00A32DA0"/>
    <w:rsid w:val="00A33955"/>
    <w:rsid w:val="00A3507E"/>
    <w:rsid w:val="00A35919"/>
    <w:rsid w:val="00A36920"/>
    <w:rsid w:val="00A378BA"/>
    <w:rsid w:val="00A37B73"/>
    <w:rsid w:val="00A455BE"/>
    <w:rsid w:val="00A45EAB"/>
    <w:rsid w:val="00A502DF"/>
    <w:rsid w:val="00A5276A"/>
    <w:rsid w:val="00A52FC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554"/>
    <w:rsid w:val="00A7299A"/>
    <w:rsid w:val="00A746D4"/>
    <w:rsid w:val="00A75D54"/>
    <w:rsid w:val="00A76A4F"/>
    <w:rsid w:val="00A800B9"/>
    <w:rsid w:val="00A816A0"/>
    <w:rsid w:val="00A8398A"/>
    <w:rsid w:val="00A85F90"/>
    <w:rsid w:val="00A92373"/>
    <w:rsid w:val="00A93487"/>
    <w:rsid w:val="00A935E5"/>
    <w:rsid w:val="00A94741"/>
    <w:rsid w:val="00A968A2"/>
    <w:rsid w:val="00A96B60"/>
    <w:rsid w:val="00AA0770"/>
    <w:rsid w:val="00AA1AC8"/>
    <w:rsid w:val="00AA2D30"/>
    <w:rsid w:val="00AA432B"/>
    <w:rsid w:val="00AA488B"/>
    <w:rsid w:val="00AB0E60"/>
    <w:rsid w:val="00AB326B"/>
    <w:rsid w:val="00AB4164"/>
    <w:rsid w:val="00AB458B"/>
    <w:rsid w:val="00AB4A44"/>
    <w:rsid w:val="00AB6501"/>
    <w:rsid w:val="00AC2237"/>
    <w:rsid w:val="00AC27C9"/>
    <w:rsid w:val="00AC2C6E"/>
    <w:rsid w:val="00AC38F3"/>
    <w:rsid w:val="00AC3D75"/>
    <w:rsid w:val="00AC4FF9"/>
    <w:rsid w:val="00AC58C2"/>
    <w:rsid w:val="00AC5D22"/>
    <w:rsid w:val="00AD0A04"/>
    <w:rsid w:val="00AD1F4A"/>
    <w:rsid w:val="00AD2277"/>
    <w:rsid w:val="00AD4B60"/>
    <w:rsid w:val="00AD6586"/>
    <w:rsid w:val="00AD6E4D"/>
    <w:rsid w:val="00AD6E5A"/>
    <w:rsid w:val="00AE001B"/>
    <w:rsid w:val="00AE0CA4"/>
    <w:rsid w:val="00AE1627"/>
    <w:rsid w:val="00AE1F06"/>
    <w:rsid w:val="00AE2CEE"/>
    <w:rsid w:val="00AF1662"/>
    <w:rsid w:val="00AF2C29"/>
    <w:rsid w:val="00AF3B2B"/>
    <w:rsid w:val="00AF4E39"/>
    <w:rsid w:val="00AF6D05"/>
    <w:rsid w:val="00B01915"/>
    <w:rsid w:val="00B02A3E"/>
    <w:rsid w:val="00B04C6B"/>
    <w:rsid w:val="00B10919"/>
    <w:rsid w:val="00B12EB9"/>
    <w:rsid w:val="00B1321D"/>
    <w:rsid w:val="00B1402A"/>
    <w:rsid w:val="00B14331"/>
    <w:rsid w:val="00B2164C"/>
    <w:rsid w:val="00B2328E"/>
    <w:rsid w:val="00B23BA4"/>
    <w:rsid w:val="00B24B35"/>
    <w:rsid w:val="00B25B59"/>
    <w:rsid w:val="00B2686B"/>
    <w:rsid w:val="00B26ADF"/>
    <w:rsid w:val="00B30E1D"/>
    <w:rsid w:val="00B327E3"/>
    <w:rsid w:val="00B32BF3"/>
    <w:rsid w:val="00B35994"/>
    <w:rsid w:val="00B36643"/>
    <w:rsid w:val="00B37568"/>
    <w:rsid w:val="00B37666"/>
    <w:rsid w:val="00B37792"/>
    <w:rsid w:val="00B4088B"/>
    <w:rsid w:val="00B4493B"/>
    <w:rsid w:val="00B468F2"/>
    <w:rsid w:val="00B50BFC"/>
    <w:rsid w:val="00B51CD7"/>
    <w:rsid w:val="00B51F60"/>
    <w:rsid w:val="00B52B5A"/>
    <w:rsid w:val="00B53810"/>
    <w:rsid w:val="00B53B29"/>
    <w:rsid w:val="00B53B2F"/>
    <w:rsid w:val="00B53B39"/>
    <w:rsid w:val="00B53C3D"/>
    <w:rsid w:val="00B548B7"/>
    <w:rsid w:val="00B55534"/>
    <w:rsid w:val="00B55E7D"/>
    <w:rsid w:val="00B6014A"/>
    <w:rsid w:val="00B6311D"/>
    <w:rsid w:val="00B643A1"/>
    <w:rsid w:val="00B64D03"/>
    <w:rsid w:val="00B672FB"/>
    <w:rsid w:val="00B6757A"/>
    <w:rsid w:val="00B710DE"/>
    <w:rsid w:val="00B71B2C"/>
    <w:rsid w:val="00B72683"/>
    <w:rsid w:val="00B75475"/>
    <w:rsid w:val="00B7575B"/>
    <w:rsid w:val="00B80A4C"/>
    <w:rsid w:val="00B81409"/>
    <w:rsid w:val="00B82047"/>
    <w:rsid w:val="00B8249E"/>
    <w:rsid w:val="00B82D32"/>
    <w:rsid w:val="00B83247"/>
    <w:rsid w:val="00B8551F"/>
    <w:rsid w:val="00B90A0F"/>
    <w:rsid w:val="00B92B43"/>
    <w:rsid w:val="00B92CA6"/>
    <w:rsid w:val="00B9331C"/>
    <w:rsid w:val="00B9346A"/>
    <w:rsid w:val="00BA1260"/>
    <w:rsid w:val="00BA1628"/>
    <w:rsid w:val="00BA2335"/>
    <w:rsid w:val="00BA6706"/>
    <w:rsid w:val="00BA7E7C"/>
    <w:rsid w:val="00BB056C"/>
    <w:rsid w:val="00BB0CBB"/>
    <w:rsid w:val="00BB14C6"/>
    <w:rsid w:val="00BB180E"/>
    <w:rsid w:val="00BB263A"/>
    <w:rsid w:val="00BB40B7"/>
    <w:rsid w:val="00BB4B60"/>
    <w:rsid w:val="00BB74CB"/>
    <w:rsid w:val="00BB74F7"/>
    <w:rsid w:val="00BC0039"/>
    <w:rsid w:val="00BC2EA9"/>
    <w:rsid w:val="00BC369F"/>
    <w:rsid w:val="00BD0BF8"/>
    <w:rsid w:val="00BD2C1D"/>
    <w:rsid w:val="00BD36B9"/>
    <w:rsid w:val="00BD3879"/>
    <w:rsid w:val="00BD3D47"/>
    <w:rsid w:val="00BD408A"/>
    <w:rsid w:val="00BD4E3E"/>
    <w:rsid w:val="00BE3D4C"/>
    <w:rsid w:val="00BE4C0B"/>
    <w:rsid w:val="00BE6B46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07664"/>
    <w:rsid w:val="00C100C0"/>
    <w:rsid w:val="00C104B4"/>
    <w:rsid w:val="00C110DC"/>
    <w:rsid w:val="00C118FB"/>
    <w:rsid w:val="00C1214F"/>
    <w:rsid w:val="00C13985"/>
    <w:rsid w:val="00C14ADB"/>
    <w:rsid w:val="00C14FEE"/>
    <w:rsid w:val="00C15330"/>
    <w:rsid w:val="00C203A3"/>
    <w:rsid w:val="00C21A17"/>
    <w:rsid w:val="00C22306"/>
    <w:rsid w:val="00C23486"/>
    <w:rsid w:val="00C252DB"/>
    <w:rsid w:val="00C30EDB"/>
    <w:rsid w:val="00C31504"/>
    <w:rsid w:val="00C31915"/>
    <w:rsid w:val="00C31A1D"/>
    <w:rsid w:val="00C32A52"/>
    <w:rsid w:val="00C3496A"/>
    <w:rsid w:val="00C363A5"/>
    <w:rsid w:val="00C36538"/>
    <w:rsid w:val="00C36841"/>
    <w:rsid w:val="00C37733"/>
    <w:rsid w:val="00C37858"/>
    <w:rsid w:val="00C37973"/>
    <w:rsid w:val="00C400DB"/>
    <w:rsid w:val="00C40464"/>
    <w:rsid w:val="00C423AC"/>
    <w:rsid w:val="00C42E4D"/>
    <w:rsid w:val="00C43DCE"/>
    <w:rsid w:val="00C45CC8"/>
    <w:rsid w:val="00C56C5E"/>
    <w:rsid w:val="00C627F3"/>
    <w:rsid w:val="00C636F8"/>
    <w:rsid w:val="00C63702"/>
    <w:rsid w:val="00C639BF"/>
    <w:rsid w:val="00C65E24"/>
    <w:rsid w:val="00C66EB7"/>
    <w:rsid w:val="00C67011"/>
    <w:rsid w:val="00C673EC"/>
    <w:rsid w:val="00C7162F"/>
    <w:rsid w:val="00C71919"/>
    <w:rsid w:val="00C7272D"/>
    <w:rsid w:val="00C72F39"/>
    <w:rsid w:val="00C7383F"/>
    <w:rsid w:val="00C75F78"/>
    <w:rsid w:val="00C772DC"/>
    <w:rsid w:val="00C80F5A"/>
    <w:rsid w:val="00C81B59"/>
    <w:rsid w:val="00C846F8"/>
    <w:rsid w:val="00C86AB3"/>
    <w:rsid w:val="00C928ED"/>
    <w:rsid w:val="00C93795"/>
    <w:rsid w:val="00CA0E03"/>
    <w:rsid w:val="00CA107F"/>
    <w:rsid w:val="00CA3519"/>
    <w:rsid w:val="00CA3D17"/>
    <w:rsid w:val="00CA4AEC"/>
    <w:rsid w:val="00CA4D29"/>
    <w:rsid w:val="00CA6A5A"/>
    <w:rsid w:val="00CA6D5B"/>
    <w:rsid w:val="00CA79ED"/>
    <w:rsid w:val="00CB0AF8"/>
    <w:rsid w:val="00CB0F51"/>
    <w:rsid w:val="00CB173C"/>
    <w:rsid w:val="00CB23BC"/>
    <w:rsid w:val="00CB2E7E"/>
    <w:rsid w:val="00CB3B0C"/>
    <w:rsid w:val="00CB4BB9"/>
    <w:rsid w:val="00CC312F"/>
    <w:rsid w:val="00CC3A81"/>
    <w:rsid w:val="00CD0DC4"/>
    <w:rsid w:val="00CD0FD9"/>
    <w:rsid w:val="00CD4273"/>
    <w:rsid w:val="00CD4CD4"/>
    <w:rsid w:val="00CE0F86"/>
    <w:rsid w:val="00CE2B38"/>
    <w:rsid w:val="00CE47AB"/>
    <w:rsid w:val="00CE7373"/>
    <w:rsid w:val="00CF0465"/>
    <w:rsid w:val="00CF2BF2"/>
    <w:rsid w:val="00CF3E37"/>
    <w:rsid w:val="00CF49D5"/>
    <w:rsid w:val="00CF4A93"/>
    <w:rsid w:val="00CF660E"/>
    <w:rsid w:val="00CF68D0"/>
    <w:rsid w:val="00CF6E92"/>
    <w:rsid w:val="00CF71B2"/>
    <w:rsid w:val="00CF75AB"/>
    <w:rsid w:val="00D007D7"/>
    <w:rsid w:val="00D04C59"/>
    <w:rsid w:val="00D04F5E"/>
    <w:rsid w:val="00D06A5E"/>
    <w:rsid w:val="00D145AF"/>
    <w:rsid w:val="00D15269"/>
    <w:rsid w:val="00D20C62"/>
    <w:rsid w:val="00D23C4D"/>
    <w:rsid w:val="00D24BCF"/>
    <w:rsid w:val="00D3019B"/>
    <w:rsid w:val="00D33012"/>
    <w:rsid w:val="00D34843"/>
    <w:rsid w:val="00D34CBF"/>
    <w:rsid w:val="00D355CC"/>
    <w:rsid w:val="00D37E84"/>
    <w:rsid w:val="00D42866"/>
    <w:rsid w:val="00D43B1C"/>
    <w:rsid w:val="00D45302"/>
    <w:rsid w:val="00D456A3"/>
    <w:rsid w:val="00D475D5"/>
    <w:rsid w:val="00D50924"/>
    <w:rsid w:val="00D52E2C"/>
    <w:rsid w:val="00D53988"/>
    <w:rsid w:val="00D562D7"/>
    <w:rsid w:val="00D56DB8"/>
    <w:rsid w:val="00D606A9"/>
    <w:rsid w:val="00D61317"/>
    <w:rsid w:val="00D642A7"/>
    <w:rsid w:val="00D64F51"/>
    <w:rsid w:val="00D66FC7"/>
    <w:rsid w:val="00D67DAE"/>
    <w:rsid w:val="00D73AA5"/>
    <w:rsid w:val="00D73D68"/>
    <w:rsid w:val="00D80059"/>
    <w:rsid w:val="00D80C87"/>
    <w:rsid w:val="00D8182D"/>
    <w:rsid w:val="00D85A81"/>
    <w:rsid w:val="00D86FB7"/>
    <w:rsid w:val="00D86FD7"/>
    <w:rsid w:val="00D94DDD"/>
    <w:rsid w:val="00D955E6"/>
    <w:rsid w:val="00D96178"/>
    <w:rsid w:val="00DA0AAF"/>
    <w:rsid w:val="00DA1D98"/>
    <w:rsid w:val="00DA1F7E"/>
    <w:rsid w:val="00DA2111"/>
    <w:rsid w:val="00DA2638"/>
    <w:rsid w:val="00DA320E"/>
    <w:rsid w:val="00DA71FE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1FB"/>
    <w:rsid w:val="00DC3BCF"/>
    <w:rsid w:val="00DC4436"/>
    <w:rsid w:val="00DC57EE"/>
    <w:rsid w:val="00DC5A45"/>
    <w:rsid w:val="00DC5E3A"/>
    <w:rsid w:val="00DC62A9"/>
    <w:rsid w:val="00DC707E"/>
    <w:rsid w:val="00DD2289"/>
    <w:rsid w:val="00DD40DB"/>
    <w:rsid w:val="00DD4AEF"/>
    <w:rsid w:val="00DD4C2B"/>
    <w:rsid w:val="00DD4E5C"/>
    <w:rsid w:val="00DD5DDE"/>
    <w:rsid w:val="00DD7A23"/>
    <w:rsid w:val="00DD7CEE"/>
    <w:rsid w:val="00DE0D71"/>
    <w:rsid w:val="00DE432B"/>
    <w:rsid w:val="00DE4779"/>
    <w:rsid w:val="00DE5F64"/>
    <w:rsid w:val="00DE640D"/>
    <w:rsid w:val="00DF15A7"/>
    <w:rsid w:val="00DF3F8C"/>
    <w:rsid w:val="00DF54A4"/>
    <w:rsid w:val="00DF79F6"/>
    <w:rsid w:val="00E00768"/>
    <w:rsid w:val="00E02DAD"/>
    <w:rsid w:val="00E04171"/>
    <w:rsid w:val="00E06C3B"/>
    <w:rsid w:val="00E10A9A"/>
    <w:rsid w:val="00E117AD"/>
    <w:rsid w:val="00E15849"/>
    <w:rsid w:val="00E17B98"/>
    <w:rsid w:val="00E21A9E"/>
    <w:rsid w:val="00E21EB4"/>
    <w:rsid w:val="00E2281A"/>
    <w:rsid w:val="00E24760"/>
    <w:rsid w:val="00E26DCC"/>
    <w:rsid w:val="00E26EA2"/>
    <w:rsid w:val="00E30617"/>
    <w:rsid w:val="00E33D4B"/>
    <w:rsid w:val="00E4043F"/>
    <w:rsid w:val="00E42395"/>
    <w:rsid w:val="00E43881"/>
    <w:rsid w:val="00E473FD"/>
    <w:rsid w:val="00E47CD6"/>
    <w:rsid w:val="00E5064F"/>
    <w:rsid w:val="00E5112E"/>
    <w:rsid w:val="00E523FD"/>
    <w:rsid w:val="00E532D9"/>
    <w:rsid w:val="00E54E14"/>
    <w:rsid w:val="00E553CA"/>
    <w:rsid w:val="00E605DA"/>
    <w:rsid w:val="00E60CFD"/>
    <w:rsid w:val="00E62219"/>
    <w:rsid w:val="00E631C3"/>
    <w:rsid w:val="00E63CC6"/>
    <w:rsid w:val="00E66BC9"/>
    <w:rsid w:val="00E71731"/>
    <w:rsid w:val="00E71853"/>
    <w:rsid w:val="00E71C21"/>
    <w:rsid w:val="00E724E3"/>
    <w:rsid w:val="00E727C8"/>
    <w:rsid w:val="00E7457F"/>
    <w:rsid w:val="00E75D1A"/>
    <w:rsid w:val="00E76126"/>
    <w:rsid w:val="00E831E4"/>
    <w:rsid w:val="00E85390"/>
    <w:rsid w:val="00E876DB"/>
    <w:rsid w:val="00E87DF0"/>
    <w:rsid w:val="00E90F34"/>
    <w:rsid w:val="00E91A5D"/>
    <w:rsid w:val="00E946AF"/>
    <w:rsid w:val="00E95909"/>
    <w:rsid w:val="00E963AF"/>
    <w:rsid w:val="00E96D80"/>
    <w:rsid w:val="00E97B97"/>
    <w:rsid w:val="00EA3148"/>
    <w:rsid w:val="00EA36ED"/>
    <w:rsid w:val="00EA39B9"/>
    <w:rsid w:val="00EA55FD"/>
    <w:rsid w:val="00EA6745"/>
    <w:rsid w:val="00EB1240"/>
    <w:rsid w:val="00EB1380"/>
    <w:rsid w:val="00EB59A2"/>
    <w:rsid w:val="00EB7BC7"/>
    <w:rsid w:val="00EC264C"/>
    <w:rsid w:val="00EC2FCB"/>
    <w:rsid w:val="00EC40F7"/>
    <w:rsid w:val="00EC521F"/>
    <w:rsid w:val="00ED200D"/>
    <w:rsid w:val="00ED327B"/>
    <w:rsid w:val="00ED3974"/>
    <w:rsid w:val="00ED477B"/>
    <w:rsid w:val="00ED4A5C"/>
    <w:rsid w:val="00ED57BF"/>
    <w:rsid w:val="00ED6783"/>
    <w:rsid w:val="00ED6ECD"/>
    <w:rsid w:val="00ED6F64"/>
    <w:rsid w:val="00ED7138"/>
    <w:rsid w:val="00ED7525"/>
    <w:rsid w:val="00EE013C"/>
    <w:rsid w:val="00EE1DE5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4B48"/>
    <w:rsid w:val="00EF77C2"/>
    <w:rsid w:val="00F0154B"/>
    <w:rsid w:val="00F01B06"/>
    <w:rsid w:val="00F03644"/>
    <w:rsid w:val="00F040BC"/>
    <w:rsid w:val="00F044EE"/>
    <w:rsid w:val="00F107C7"/>
    <w:rsid w:val="00F110FB"/>
    <w:rsid w:val="00F11181"/>
    <w:rsid w:val="00F1215C"/>
    <w:rsid w:val="00F1237D"/>
    <w:rsid w:val="00F12E67"/>
    <w:rsid w:val="00F14560"/>
    <w:rsid w:val="00F177A6"/>
    <w:rsid w:val="00F17C7A"/>
    <w:rsid w:val="00F22C4C"/>
    <w:rsid w:val="00F26228"/>
    <w:rsid w:val="00F3085B"/>
    <w:rsid w:val="00F310FA"/>
    <w:rsid w:val="00F33BF2"/>
    <w:rsid w:val="00F42087"/>
    <w:rsid w:val="00F425AF"/>
    <w:rsid w:val="00F445C7"/>
    <w:rsid w:val="00F4538A"/>
    <w:rsid w:val="00F5006F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0C8"/>
    <w:rsid w:val="00F66797"/>
    <w:rsid w:val="00F66B05"/>
    <w:rsid w:val="00F722C9"/>
    <w:rsid w:val="00F74A5B"/>
    <w:rsid w:val="00F7533C"/>
    <w:rsid w:val="00F75A23"/>
    <w:rsid w:val="00F81356"/>
    <w:rsid w:val="00F81B49"/>
    <w:rsid w:val="00F82FEE"/>
    <w:rsid w:val="00F83453"/>
    <w:rsid w:val="00F84064"/>
    <w:rsid w:val="00F8472B"/>
    <w:rsid w:val="00F900EA"/>
    <w:rsid w:val="00F90870"/>
    <w:rsid w:val="00F908D4"/>
    <w:rsid w:val="00F9109A"/>
    <w:rsid w:val="00F914CE"/>
    <w:rsid w:val="00FA023A"/>
    <w:rsid w:val="00FA0881"/>
    <w:rsid w:val="00FA1BE7"/>
    <w:rsid w:val="00FA3575"/>
    <w:rsid w:val="00FA62C2"/>
    <w:rsid w:val="00FA6C10"/>
    <w:rsid w:val="00FB0AEC"/>
    <w:rsid w:val="00FB0CD3"/>
    <w:rsid w:val="00FB20D5"/>
    <w:rsid w:val="00FB29A7"/>
    <w:rsid w:val="00FB2AA1"/>
    <w:rsid w:val="00FB47E7"/>
    <w:rsid w:val="00FB4938"/>
    <w:rsid w:val="00FB50C5"/>
    <w:rsid w:val="00FB6727"/>
    <w:rsid w:val="00FB6A00"/>
    <w:rsid w:val="00FB6DEB"/>
    <w:rsid w:val="00FC06F6"/>
    <w:rsid w:val="00FC0B1A"/>
    <w:rsid w:val="00FC10B1"/>
    <w:rsid w:val="00FC14FB"/>
    <w:rsid w:val="00FC2CC8"/>
    <w:rsid w:val="00FC4D21"/>
    <w:rsid w:val="00FC671E"/>
    <w:rsid w:val="00FC72EB"/>
    <w:rsid w:val="00FD1575"/>
    <w:rsid w:val="00FD1B32"/>
    <w:rsid w:val="00FD477D"/>
    <w:rsid w:val="00FD6A11"/>
    <w:rsid w:val="00FD6C92"/>
    <w:rsid w:val="00FE00F8"/>
    <w:rsid w:val="00FE36F9"/>
    <w:rsid w:val="00FE5EC9"/>
    <w:rsid w:val="00FE6CA1"/>
    <w:rsid w:val="00FF0595"/>
    <w:rsid w:val="00FF2299"/>
    <w:rsid w:val="00FF35E6"/>
    <w:rsid w:val="00FF3A33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1476D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1035E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5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5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customStyle="1" w:styleId="1">
    <w:name w:val="м1"/>
    <w:basedOn w:val="a6"/>
    <w:link w:val="13"/>
    <w:qFormat/>
    <w:rsid w:val="00610122"/>
    <w:pPr>
      <w:numPr>
        <w:numId w:val="10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2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table" w:customStyle="1" w:styleId="4">
    <w:name w:val="Сетка таблицы4"/>
    <w:basedOn w:val="a4"/>
    <w:next w:val="af8"/>
    <w:uiPriority w:val="39"/>
    <w:rsid w:val="00D04F5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2"/>
    <w:link w:val="footnotedescriptionChar"/>
    <w:hidden/>
    <w:rsid w:val="00241529"/>
    <w:pPr>
      <w:spacing w:after="0"/>
      <w:ind w:left="10"/>
    </w:pPr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customStyle="1" w:styleId="footnotedescriptionChar">
    <w:name w:val="footnote description Char"/>
    <w:link w:val="footnotedescription"/>
    <w:rsid w:val="00241529"/>
    <w:rPr>
      <w:rFonts w:ascii="Times New Roman" w:eastAsia="Times New Roman" w:hAnsi="Times New Roman" w:cs="Times New Roman"/>
      <w:color w:val="000000"/>
      <w:sz w:val="18"/>
      <w:lang w:val="en-US"/>
    </w:rPr>
  </w:style>
  <w:style w:type="character" w:customStyle="1" w:styleId="footnotemark">
    <w:name w:val="footnote mark"/>
    <w:hidden/>
    <w:rsid w:val="00241529"/>
    <w:rPr>
      <w:rFonts w:ascii="Times New Roman" w:eastAsia="Times New Roman" w:hAnsi="Times New Roman" w:cs="Times New Roman"/>
      <w:color w:val="000000"/>
      <w:sz w:val="10"/>
      <w:vertAlign w:val="superscript"/>
    </w:rPr>
  </w:style>
  <w:style w:type="paragraph" w:customStyle="1" w:styleId="xl63">
    <w:name w:val="xl63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2"/>
    <w:rsid w:val="00774F5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74F5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74F5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74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2">
    <w:name w:val="xl82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3">
    <w:name w:val="xl83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6">
    <w:name w:val="xl86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8">
    <w:name w:val="xl88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74F5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95">
    <w:name w:val="xl95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74F5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2"/>
    <w:rsid w:val="00774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2"/>
    <w:rsid w:val="00774F5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2"/>
    <w:rsid w:val="00774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2"/>
    <w:rsid w:val="00774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2"/>
    <w:rsid w:val="00774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74F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2"/>
    <w:rsid w:val="00774F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74F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74F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774F5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2"/>
    <w:rsid w:val="00774F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2"/>
    <w:rsid w:val="00774F5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2"/>
    <w:rsid w:val="00774F5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2"/>
    <w:rsid w:val="00774F5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2"/>
    <w:rsid w:val="00774F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4">
    <w:name w:val="xl164"/>
    <w:basedOn w:val="a2"/>
    <w:rsid w:val="00774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5">
    <w:name w:val="xl165"/>
    <w:basedOn w:val="a2"/>
    <w:rsid w:val="00774F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66">
    <w:name w:val="xl166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2"/>
    <w:rsid w:val="00774F55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2"/>
    <w:rsid w:val="00774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2"/>
    <w:rsid w:val="00774F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2"/>
    <w:rsid w:val="00774F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5">
    <w:name w:val="xl175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2"/>
    <w:rsid w:val="00774F5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77">
    <w:name w:val="xl177"/>
    <w:basedOn w:val="a2"/>
    <w:rsid w:val="00774F5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2"/>
    <w:rsid w:val="00774F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2"/>
    <w:rsid w:val="00774F5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2"/>
    <w:rsid w:val="00774F5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14419-C8C8-4014-9DC3-5EE57C45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5228</Words>
  <Characters>29806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34965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Полякова Елена Владимировна</cp:lastModifiedBy>
  <cp:revision>5</cp:revision>
  <cp:lastPrinted>2023-03-15T06:57:00Z</cp:lastPrinted>
  <dcterms:created xsi:type="dcterms:W3CDTF">2025-12-15T05:04:00Z</dcterms:created>
  <dcterms:modified xsi:type="dcterms:W3CDTF">2025-12-15T05:20:00Z</dcterms:modified>
</cp:coreProperties>
</file>